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440601-2022-06547</w:t>
      </w:r>
    </w:p>
    <w:p>
      <w:pPr>
        <w:jc w:val="center"/>
      </w:pPr>
      <w:r>
        <w:rPr>
          <w:b/>
          <w:sz w:val="24"/>
        </w:rPr>
        <w:t>采购项目编号：</w:t>
      </w:r>
      <w:r>
        <w:rPr>
          <w:b/>
          <w:sz w:val="24"/>
        </w:rPr>
        <w:t>440601-2022-06547</w:t>
      </w:r>
    </w:p>
    <w:p>
      <w:pPr>
        <w:jc w:val="center"/>
      </w:pPr>
      <w:r>
        <w:rPr>
          <w:b/>
          <w:sz w:val="24"/>
        </w:rPr>
        <w:t>项目名称：</w:t>
      </w:r>
      <w:r>
        <w:rPr>
          <w:b/>
          <w:sz w:val="24"/>
        </w:rPr>
        <w:t>全国统一中小学教师资格考试佛山考区面试考点保障服务（2023年）</w:t>
      </w:r>
    </w:p>
    <w:p>
      <w:pPr>
        <w:jc w:val="center"/>
      </w:pPr>
      <w:r>
        <w:rPr>
          <w:b/>
          <w:sz w:val="24"/>
        </w:rPr>
        <w:t>采购人：</w:t>
      </w:r>
      <w:r>
        <w:rPr>
          <w:b/>
          <w:sz w:val="24"/>
        </w:rPr>
        <w:t>佛山市教育局</w:t>
      </w:r>
    </w:p>
    <w:p>
      <w:pPr>
        <w:jc w:val="center"/>
      </w:pPr>
      <w:r>
        <w:rPr>
          <w:b/>
          <w:sz w:val="24"/>
        </w:rPr>
        <w:t>采购代理机构：</w:t>
      </w:r>
      <w:r>
        <w:rPr>
          <w:b/>
          <w:sz w:val="24"/>
        </w:rPr>
        <w:t>广东计安招标采购有限公司佛山分公司</w:t>
      </w:r>
    </w:p>
    <w:p>
      <w:pPr>
        <w:ind w:firstLine="480"/>
      </w:pPr>
    </w:p>
    <w:p>
      <w:r>
        <w:rPr/>
        <w:t xml:space="preserve"> </w:t>
      </w:r>
    </w:p>
    <w:p/>
    <w:p>
      <w:pPr>
        <w:jc w:val="center"/>
      </w:pPr>
      <w:r>
        <w:rPr>
          <w:b/>
          <w:sz w:val="36"/>
        </w:rPr>
        <w:t>第一章 磋商邀请</w:t>
      </w:r>
    </w:p>
    <w:p>
      <w:pPr>
        <w:ind w:firstLine="480"/>
      </w:pPr>
      <w:r>
        <w:rPr/>
        <w:t>广东计安招标采购有限公司佛山分公司</w:t>
      </w:r>
      <w:r>
        <w:rPr/>
        <w:t>受</w:t>
      </w:r>
      <w:r>
        <w:rPr/>
        <w:t>佛山市教育局</w:t>
      </w:r>
      <w:r>
        <w:rPr/>
        <w:t>的委托，采用</w:t>
      </w:r>
      <w:r>
        <w:rPr/>
        <w:t>竞争性磋商</w:t>
      </w:r>
      <w:r>
        <w:rPr/>
        <w:t>方式组织采购</w:t>
      </w:r>
      <w:r>
        <w:rPr/>
        <w:t>全国统一中小学教师资格考试佛山考区面试考点保障服务（2023年）</w:t>
      </w:r>
      <w:r>
        <w:rPr/>
        <w:t>。欢迎符合资格条件的供应商参加。</w:t>
      </w:r>
    </w:p>
    <w:p>
      <w:r>
        <w:rPr>
          <w:b/>
          <w:sz w:val="28"/>
        </w:rPr>
        <w:t>一.项目概述</w:t>
      </w:r>
    </w:p>
    <w:p>
      <w:r>
        <w:rPr>
          <w:b/>
          <w:sz w:val="24"/>
        </w:rPr>
        <w:t>1.名称与编号</w:t>
      </w:r>
    </w:p>
    <w:p>
      <w:pPr>
        <w:ind w:firstLine="480"/>
      </w:pPr>
      <w:r>
        <w:rPr/>
        <w:t>采购项目名称：</w:t>
      </w:r>
      <w:r>
        <w:rPr/>
        <w:t>全国统一中小学教师资格考试佛山考区面试考点保障服务（2023年）</w:t>
      </w:r>
    </w:p>
    <w:p>
      <w:pPr>
        <w:ind w:firstLine="480"/>
      </w:pPr>
      <w:r>
        <w:rPr/>
        <w:t>采购计划编号：</w:t>
      </w:r>
      <w:r>
        <w:rPr/>
        <w:t>440601-2022-06547</w:t>
      </w:r>
    </w:p>
    <w:p>
      <w:pPr>
        <w:ind w:firstLine="480"/>
      </w:pPr>
      <w:r>
        <w:rPr/>
        <w:t>采购项目编号：</w:t>
      </w:r>
      <w:r>
        <w:rPr/>
        <w:t>440601-2022-06547</w:t>
      </w:r>
    </w:p>
    <w:p>
      <w:pPr>
        <w:ind w:firstLine="480"/>
      </w:pPr>
      <w:r>
        <w:rPr/>
        <w:t>采购方式：</w:t>
      </w:r>
      <w:r>
        <w:rPr/>
        <w:t>竞争性磋商</w:t>
      </w:r>
    </w:p>
    <w:p>
      <w:pPr>
        <w:ind w:firstLine="480"/>
      </w:pPr>
      <w:r>
        <w:rPr/>
        <w:t>预算金额：</w:t>
      </w:r>
      <w:r>
        <w:rPr/>
        <w:t>2,132,400.00</w:t>
      </w:r>
      <w:r>
        <w:rPr/>
        <w:t>元</w:t>
      </w:r>
    </w:p>
    <w:p>
      <w:r>
        <w:rPr>
          <w:b/>
          <w:sz w:val="24"/>
        </w:rPr>
        <w:t>2.项目内容及需求情况（采购项目技术规格、参数及要求）</w:t>
      </w:r>
    </w:p>
    <w:p>
      <w:pPr>
        <w:ind w:firstLine="480"/>
      </w:pPr>
    </w:p>
    <w:p/>
    <w:p>
      <w:r>
        <w:rPr/>
        <w:t>采购包1(全国统一中小学教师资格考试佛山考区面试考点保障服务（2023年）):</w:t>
      </w:r>
    </w:p>
    <w:p>
      <w:r>
        <w:rPr/>
        <w:t>采购包预算金额：2,132,400.00元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其他信息技术服务</w:t>
            </w:r>
          </w:p>
        </w:tc>
        <w:tc>
          <w:tcPr>
            <w:tcW w:type="dxa" w:w="2052"/>
          </w:tcPr>
          <w:p>
            <w:r>
              <w:rPr/>
              <w:t>面试考点保障服务</w:t>
            </w:r>
          </w:p>
        </w:tc>
        <w:tc>
          <w:tcPr>
            <w:tcW w:type="dxa" w:w="977"/>
          </w:tcPr>
          <w:p>
            <w:r>
              <w:rPr/>
              <w:t>12.0000(个)</w:t>
            </w:r>
          </w:p>
        </w:tc>
        <w:tc>
          <w:tcPr>
            <w:tcW w:type="dxa" w:w="977"/>
          </w:tcPr>
          <w:p>
            <w:r>
              <w:rPr/>
              <w:t>详见第二章</w:t>
            </w:r>
          </w:p>
        </w:tc>
        <w:tc>
          <w:tcPr>
            <w:tcW w:type="dxa" w:w="977"/>
          </w:tcPr>
          <w:p>
            <w:r>
              <w:rPr/>
              <w:t>2,132,400.00</w:t>
            </w:r>
          </w:p>
        </w:tc>
        <w:tc>
          <w:tcPr>
            <w:tcW w:type="dxa" w:w="977"/>
          </w:tcPr>
          <w:p>
            <w:r>
              <w:rPr/>
              <w:t>否</w:t>
            </w:r>
          </w:p>
        </w:tc>
      </w:tr>
    </w:tbl>
    <w:p/>
    <w:p>
      <w:r>
        <w:rPr/>
        <w:t>本采购包不接受联合体响应</w:t>
      </w:r>
    </w:p>
    <w:p/>
    <w:p>
      <w:r>
        <w:rPr/>
        <w:t>合同履行期限：合同签订生效之日起至完成2023年共2次面试的服务止。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采购包1（全国统一中小学教师资格考试佛山考区面试考点保障服务（2023年））：</w:t>
      </w:r>
      <w:r>
        <w:rPr/>
        <w:t>参与的供应商（联合体）服务全部由符合政策要求的中小企业承接。本项目所属行业为：软件和信息技术服务业。</w:t>
      </w:r>
    </w:p>
    <w:p/>
    <w:p>
      <w:r>
        <w:rPr>
          <w:b/>
          <w:sz w:val="24"/>
        </w:rPr>
        <w:t>3.本项目特定的资格要求：</w:t>
      </w:r>
    </w:p>
    <w:p>
      <w:pPr>
        <w:ind w:firstLine="480"/>
      </w:pPr>
    </w:p>
    <w:p/>
    <w:p>
      <w:r>
        <w:rPr/>
        <w:t>采购包1（全国统一中小学教师资格考试佛山考区面试考点保障服务（2023年））：</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佛山市公共资源交易网：http://www.fsggzy.cn/， 广东计安招标采购有限公司：http://www.mzgpo.com/</w:t>
      </w:r>
    </w:p>
    <w:p>
      <w:r>
        <w:rPr>
          <w:b/>
          <w:sz w:val="28"/>
        </w:rPr>
        <w:t>六.本项目联系方式：</w:t>
      </w:r>
    </w:p>
    <w:p>
      <w:r>
        <w:rPr>
          <w:b/>
          <w:sz w:val="24"/>
        </w:rPr>
        <w:t>1.采购人信息</w:t>
      </w:r>
    </w:p>
    <w:p>
      <w:pPr>
        <w:ind w:firstLine="480"/>
      </w:pPr>
      <w:r>
        <w:rPr/>
        <w:t>名称：</w:t>
      </w:r>
      <w:r>
        <w:rPr/>
        <w:t>佛山市教育局</w:t>
      </w:r>
    </w:p>
    <w:p>
      <w:pPr>
        <w:ind w:firstLine="480"/>
      </w:pPr>
      <w:r>
        <w:rPr/>
        <w:t>地址：</w:t>
      </w:r>
      <w:r>
        <w:rPr/>
        <w:t>广东省佛山市同济西路9号</w:t>
      </w:r>
    </w:p>
    <w:p>
      <w:pPr>
        <w:ind w:firstLine="480"/>
      </w:pPr>
      <w:r>
        <w:rPr/>
        <w:t>联系方式：</w:t>
      </w:r>
      <w:r>
        <w:rPr/>
        <w:t>0757-83205016</w:t>
      </w:r>
    </w:p>
    <w:p>
      <w:r>
        <w:rPr>
          <w:b/>
          <w:sz w:val="24"/>
        </w:rPr>
        <w:t>2.采购代理机构信息</w:t>
      </w:r>
    </w:p>
    <w:p>
      <w:pPr>
        <w:ind w:firstLine="480"/>
      </w:pPr>
      <w:r>
        <w:rPr/>
        <w:t>名称：</w:t>
      </w:r>
      <w:r>
        <w:rPr/>
        <w:t>广东计安招标采购有限公司佛山分公司</w:t>
      </w:r>
    </w:p>
    <w:p>
      <w:pPr>
        <w:ind w:firstLine="480"/>
      </w:pPr>
      <w:r>
        <w:rPr/>
        <w:t>地址：</w:t>
      </w:r>
      <w:r>
        <w:rPr/>
        <w:t>广东省佛山市禅城区澜石（国际）金属交易中心第9座二层25、26、27号</w:t>
      </w:r>
    </w:p>
    <w:p>
      <w:pPr>
        <w:ind w:firstLine="480"/>
      </w:pPr>
      <w:r>
        <w:rPr/>
        <w:t>联系方式：</w:t>
      </w:r>
      <w:r>
        <w:rPr/>
        <w:t>0757-82615983</w:t>
      </w:r>
    </w:p>
    <w:p>
      <w:r>
        <w:rPr>
          <w:b/>
          <w:sz w:val="24"/>
        </w:rPr>
        <w:t>3.项目联系方式</w:t>
      </w:r>
    </w:p>
    <w:p>
      <w:pPr>
        <w:ind w:firstLine="480"/>
      </w:pPr>
      <w:r>
        <w:rPr/>
        <w:t>项目联系人：</w:t>
      </w:r>
      <w:r>
        <w:rPr/>
        <w:t>霍小姐、曾小姐</w:t>
      </w:r>
    </w:p>
    <w:p>
      <w:pPr>
        <w:ind w:firstLine="480"/>
      </w:pPr>
      <w:r>
        <w:rPr/>
        <w:t>电话：</w:t>
      </w:r>
      <w:r>
        <w:rPr/>
        <w:t>0757-82615983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广东计安招标采购有限公司佛山分公司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根据《广东省教育厅关于印发&lt;中小学教师资格考试试点实施办法&gt;和&lt;中小学教师资格定期注册试点实施办法&gt;的通知》（粤教师[2016]2号）要求，自2016年6月1日起我省全面实施中小学教师资格统一考试工作，中小学教师资格考试分笔试和面试两部分。按照教育部考试中心《中小学教师资格考试面试工作规程（试行）》规定，我省教师资格考试以地市为单位设立考区，各考区教师资格考试的组织实施由地市级教育行政部门统筹负责。各地级以上市教育行政部门是本行政区域内教师资格考试工作的责任主体。</w:t>
      </w:r>
    </w:p>
    <w:p>
      <w:pPr>
        <w:ind w:firstLine="600"/>
        <w:jc w:val="both"/>
      </w:pPr>
      <w:r>
        <w:rPr>
          <w:sz w:val="24"/>
        </w:rPr>
        <w:t>中小学教师资格考试每年举行2次。根据《广东省中小学教师资格考试面试工作指南》，各考区必须按照要求配备考点，并做好考试设备和考试用具的配备、调试、安装和维护工作。</w:t>
      </w:r>
    </w:p>
    <w:p>
      <w:pPr>
        <w:ind w:firstLine="600"/>
        <w:jc w:val="both"/>
      </w:pPr>
      <w:r>
        <w:rPr>
          <w:sz w:val="24"/>
        </w:rPr>
        <w:t>本次项目为购买2023年全国中小学教师资格考试佛山考区面试考点的布置和值守服务，保障面试工作顺利完成。</w:t>
      </w:r>
    </w:p>
    <w:p/>
    <w:p>
      <w:pPr>
        <w:ind w:firstLine="480"/>
      </w:pPr>
    </w:p>
    <w:p/>
    <w:p>
      <w:r>
        <w:rPr/>
        <w:t>采购包1（全国统一中小学教师资格考试佛山考区面试考点保障服务（2023年））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合同签订生效之日起5天内。</w:t>
            </w:r>
          </w:p>
        </w:tc>
      </w:tr>
      <w:tr>
        <w:tc>
          <w:tcPr>
            <w:tcW w:type="dxa" w:w="4153"/>
          </w:tcPr>
          <w:p>
            <w:r>
              <w:rPr/>
              <w:t>标的提供的地点</w:t>
            </w:r>
          </w:p>
        </w:tc>
        <w:tc>
          <w:tcPr>
            <w:tcW w:type="dxa" w:w="4153"/>
          </w:tcPr>
          <w:p/>
          <w:p>
            <w:r>
              <w:rPr/>
              <w:t>采购人（用户）指定地点。</w:t>
            </w:r>
          </w:p>
        </w:tc>
      </w:tr>
      <w:tr>
        <w:tc>
          <w:tcPr>
            <w:tcW w:type="dxa" w:w="4153"/>
          </w:tcPr>
          <w:p>
            <w:r>
              <w:rPr/>
              <w:t>付款方式</w:t>
            </w:r>
          </w:p>
        </w:tc>
        <w:tc>
          <w:tcPr>
            <w:tcW w:type="dxa" w:w="4153"/>
          </w:tcPr>
          <w:p/>
          <w:p/>
          <w:p>
            <w:r>
              <w:rPr/>
              <w:t>1期：支付比例100%,每次面试结束后，经验收合格，支付实际启用考点数×合同单价的款项。注：结算总金额必须小于或等于项目预算金额。</w:t>
            </w:r>
          </w:p>
        </w:tc>
      </w:tr>
      <w:tr>
        <w:tc>
          <w:tcPr>
            <w:tcW w:type="dxa" w:w="4153"/>
          </w:tcPr>
          <w:p>
            <w:r>
              <w:rPr/>
              <w:t>验收要求</w:t>
            </w:r>
          </w:p>
        </w:tc>
        <w:tc>
          <w:tcPr>
            <w:tcW w:type="dxa" w:w="4153"/>
          </w:tcPr>
          <w:p/>
          <w:p/>
          <w:p/>
          <w:p>
            <w:r>
              <w:rPr/>
              <w:t>1期：①符合中华人民共和国国家和履约地相关安全质量标准、行业技术规范标准、环保节能标准；②符合采购文件和响应承诺中采购人认可的合理最佳配置、参数规格及各项要求；③双方约定的其他验收标准。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项目总控制金额</w:t>
            </w:r>
          </w:p>
        </w:tc>
        <w:tc>
          <w:tcPr>
            <w:tcW w:type="dxa" w:w="2076"/>
          </w:tcPr>
          <w:p>
            <w:pPr>
              <w:jc w:val="left"/>
            </w:pPr>
            <w:r>
              <w:rPr/>
              <w:t>本项目总控制金额￥2,132,400.00元，结算总金额必须小于或等于总控制金额。供应商按单价（即每个考点）进行报价，本项目最多建设12个考点，具体结算金额＝实际启用考点数×合同单价。</w:t>
            </w:r>
          </w:p>
        </w:tc>
      </w:tr>
      <w:tr>
        <w:tc>
          <w:tcPr>
            <w:tcW w:type="dxa" w:w="2076"/>
          </w:tcPr>
          <w:p>
            <w:pPr>
              <w:jc w:val="center"/>
            </w:pPr>
          </w:p>
        </w:tc>
        <w:tc>
          <w:tcPr>
            <w:tcW w:type="dxa" w:w="2076"/>
          </w:tcPr>
          <w:p>
            <w:pPr>
              <w:jc w:val="center"/>
            </w:pPr>
            <w:r>
              <w:rPr/>
              <w:t>2</w:t>
            </w:r>
          </w:p>
        </w:tc>
        <w:tc>
          <w:tcPr>
            <w:tcW w:type="dxa" w:w="2076"/>
          </w:tcPr>
          <w:p>
            <w:pPr>
              <w:jc w:val="left"/>
            </w:pPr>
            <w:r>
              <w:rPr/>
              <w:t>报价要求</w:t>
            </w:r>
          </w:p>
        </w:tc>
        <w:tc>
          <w:tcPr>
            <w:tcW w:type="dxa" w:w="2076"/>
          </w:tcPr>
          <w:p>
            <w:pPr>
              <w:jc w:val="left"/>
            </w:pPr>
            <w:r>
              <w:rPr/>
              <w:t>1.报价方式为广东省佛山市整体项目包干价。 2.报价中必须包含提供2023全国统一中小学教师资格考试佛山考区面试考点保障服务过程产生的费用、所有相关技术人员的工勤费用（包括工资、福利、交通、食宿、通讯、常驻现场的费用等）、全额含税发票、合同实施过程中的应预见和不可预见费用等完成合同规定责任和义务、达到合同目的的一切费用及企业利润。 3.供应商必须自行考虑本项目在实施期间的一切可能产生的费用。在合同执行过程中，采购人将不再另行支付与本项目相关的任何费用。</w:t>
            </w:r>
          </w:p>
        </w:tc>
      </w:tr>
      <w:tr>
        <w:tc>
          <w:tcPr>
            <w:tcW w:type="dxa" w:w="2076"/>
          </w:tcPr>
          <w:p>
            <w:pPr>
              <w:jc w:val="center"/>
            </w:pPr>
          </w:p>
        </w:tc>
        <w:tc>
          <w:tcPr>
            <w:tcW w:type="dxa" w:w="2076"/>
          </w:tcPr>
          <w:p>
            <w:pPr>
              <w:jc w:val="center"/>
            </w:pPr>
            <w:r>
              <w:rPr/>
              <w:t>3</w:t>
            </w:r>
          </w:p>
        </w:tc>
        <w:tc>
          <w:tcPr>
            <w:tcW w:type="dxa" w:w="2076"/>
          </w:tcPr>
          <w:p>
            <w:pPr>
              <w:jc w:val="left"/>
            </w:pPr>
            <w:r>
              <w:rPr/>
              <w:t>保密要求</w:t>
            </w:r>
          </w:p>
        </w:tc>
        <w:tc>
          <w:tcPr>
            <w:tcW w:type="dxa" w:w="2076"/>
          </w:tcPr>
          <w:p>
            <w:pPr>
              <w:jc w:val="left"/>
            </w:pPr>
            <w:r>
              <w:rPr/>
              <w:t>成交供应商在项目实施过程中，对采购人所提供的所有相关资料、数据须保密，未经采购人书面同意不得向任何第三人泄露，且保密责任不因合同的终止或解除而失效。如采购人提出要求，成交供应商须无条件与采购人签定保密协议。项目完成后，成交供应商须把采购人提供的所有资料、数据完整归还采购人，并不得留存任何复制品。</w:t>
            </w:r>
          </w:p>
        </w:tc>
      </w:tr>
      <w:tr>
        <w:tc>
          <w:tcPr>
            <w:tcW w:type="dxa" w:w="2076"/>
          </w:tcPr>
          <w:p>
            <w:pPr>
              <w:jc w:val="center"/>
            </w:pPr>
          </w:p>
        </w:tc>
        <w:tc>
          <w:tcPr>
            <w:tcW w:type="dxa" w:w="2076"/>
          </w:tcPr>
          <w:p>
            <w:pPr>
              <w:jc w:val="center"/>
            </w:pPr>
            <w:r>
              <w:rPr/>
              <w:t>4</w:t>
            </w:r>
          </w:p>
        </w:tc>
        <w:tc>
          <w:tcPr>
            <w:tcW w:type="dxa" w:w="2076"/>
          </w:tcPr>
          <w:p>
            <w:pPr>
              <w:jc w:val="left"/>
            </w:pPr>
            <w:r>
              <w:rPr/>
              <w:t>知识产权</w:t>
            </w:r>
          </w:p>
        </w:tc>
        <w:tc>
          <w:tcPr>
            <w:tcW w:type="dxa" w:w="2076"/>
          </w:tcPr>
          <w:p>
            <w:pPr>
              <w:jc w:val="left"/>
            </w:pPr>
            <w:r>
              <w:rPr/>
              <w:t>1.本项目所形成的数据和报告知识产权归采购人所有。未经采购人书面同意，成交供应商不得使用。 2.成交供应商须保证提供给采购人的所有资料和项目成果均符合所有可适用的法律、法规、规范性文件的要求；保证提供给采购人的所有资料、项目成果系统均为成交供应商合法所有或经合法授权；保证采购人使用上述资料、项目成果系统的行为不会侵犯任何第三人的合法权益。如果发生第三人主张采购人因使用上述资料、项目成果系统构成侵权的，成交供应商应当承担相应的法律责任，由此给采购人造成损失的，由成交供应商全额赔偿；因此而造成采购人承担赔偿等责任的，采购人有权向成交供应商追偿。</w:t>
            </w:r>
          </w:p>
        </w:tc>
      </w:tr>
      <w:tr>
        <w:tc>
          <w:tcPr>
            <w:tcW w:type="dxa" w:w="2076"/>
          </w:tcPr>
          <w:p>
            <w:pPr>
              <w:jc w:val="center"/>
            </w:pPr>
          </w:p>
        </w:tc>
        <w:tc>
          <w:tcPr>
            <w:tcW w:type="dxa" w:w="2076"/>
          </w:tcPr>
          <w:p>
            <w:pPr>
              <w:jc w:val="center"/>
            </w:pPr>
            <w:r>
              <w:rPr/>
              <w:t>5</w:t>
            </w:r>
          </w:p>
        </w:tc>
        <w:tc>
          <w:tcPr>
            <w:tcW w:type="dxa" w:w="2076"/>
          </w:tcPr>
          <w:p>
            <w:pPr>
              <w:jc w:val="left"/>
            </w:pPr>
            <w:r>
              <w:rPr/>
              <w:t>人员要求</w:t>
            </w:r>
          </w:p>
        </w:tc>
        <w:tc>
          <w:tcPr>
            <w:tcW w:type="dxa" w:w="2076"/>
          </w:tcPr>
          <w:p>
            <w:pPr>
              <w:jc w:val="left"/>
            </w:pPr>
            <w:r>
              <w:rPr/>
              <w:t>1、成交供应商须按其响应文件中承诺提供的项目组人员必须按要求投入到本项目中，在合同期内不得擅自更换。成交供应商如因工作安排或其他原因，需要更换项目组人员时，应事前向采购人书面提出书面申请，未经采购人同意，不得更换人员。 2、如成交供应商未经采购人书面同意擅自更换项目组人员，除须按采购人的要求对人员作出调整外，还须交纳违约金。累计达4次后，采购人有权终止合同，由此引致的经济损失，成交供应商须全额赔偿，采购人保留追究成交供应商相关责任的权利。 3、采购人有权以书面形式要求成交供应商更换不能按规定履行合同的人员。 4、即使是采购人要求或同意更换的人员，其代替人员的资质仍应得到采购人的认可，且其资历和经验均不低于被更换人员。由此而产生的费用由成交供应商承担。 5、成交供应商对其雇员的人身安全负全部责任。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其他信息技术服务</w:t>
            </w:r>
          </w:p>
        </w:tc>
        <w:tc>
          <w:tcPr>
            <w:tcW w:type="dxa" w:w="933"/>
          </w:tcPr>
          <w:p>
            <w:pPr>
              <w:jc w:val="left"/>
            </w:pPr>
            <w:r>
              <w:rPr/>
              <w:t>面试考点保障服务</w:t>
            </w:r>
          </w:p>
        </w:tc>
        <w:tc>
          <w:tcPr>
            <w:tcW w:type="dxa" w:w="933"/>
          </w:tcPr>
          <w:p>
            <w:pPr>
              <w:jc w:val="left"/>
            </w:pPr>
            <w:r>
              <w:rPr/>
              <w:t>个</w:t>
            </w:r>
          </w:p>
        </w:tc>
        <w:tc>
          <w:tcPr>
            <w:tcW w:type="dxa" w:w="933"/>
          </w:tcPr>
          <w:p>
            <w:pPr>
              <w:jc w:val="right"/>
            </w:pPr>
            <w:r>
              <w:rPr/>
              <w:t>12.00</w:t>
            </w:r>
          </w:p>
        </w:tc>
        <w:tc>
          <w:tcPr>
            <w:tcW w:type="dxa" w:w="933"/>
          </w:tcPr>
          <w:p>
            <w:pPr>
              <w:jc w:val="right"/>
            </w:pPr>
            <w:r>
              <w:rPr/>
              <w:t>177,700.00</w:t>
            </w:r>
          </w:p>
        </w:tc>
        <w:tc>
          <w:tcPr>
            <w:tcW w:type="dxa" w:w="933"/>
          </w:tcPr>
          <w:p>
            <w:pPr>
              <w:jc w:val="right"/>
            </w:pPr>
            <w:r>
              <w:rPr/>
              <w:t>2,132,400.00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面试考点保障服务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numPr>
                <w:ilvl w:val="0"/>
                <w:numId w:val="1"/>
              </w:numPr>
              <w:jc w:val="both"/>
            </w:pPr>
            <w:r>
              <w:rPr>
                <w:b/>
                <w:sz w:val="24"/>
              </w:rPr>
              <w:t>项目需求</w:t>
            </w:r>
          </w:p>
          <w:p>
            <w:pPr>
              <w:ind w:firstLine="480"/>
              <w:jc w:val="both"/>
            </w:pPr>
            <w:r>
              <w:rPr>
                <w:sz w:val="24"/>
              </w:rPr>
              <w:t>本项目购买2023年共2次面试的服务，第一次面试时间为</w:t>
            </w:r>
            <w:r>
              <w:rPr>
                <w:sz w:val="24"/>
              </w:rPr>
              <w:t>2023</w:t>
            </w:r>
            <w:r>
              <w:rPr>
                <w:sz w:val="24"/>
              </w:rPr>
              <w:t>年1月7日-2023年1月8日，</w:t>
            </w:r>
            <w:r>
              <w:rPr>
                <w:sz w:val="24"/>
              </w:rPr>
              <w:t>第二次面试时间为</w:t>
            </w:r>
            <w:r>
              <w:rPr>
                <w:sz w:val="24"/>
              </w:rPr>
              <w:t>2023</w:t>
            </w:r>
            <w:r>
              <w:rPr>
                <w:sz w:val="24"/>
              </w:rPr>
              <w:t>年5月，具体日期以实际文件通知为准，每次面试时长2天。</w:t>
            </w:r>
          </w:p>
          <w:p>
            <w:pPr>
              <w:ind w:firstLine="480"/>
              <w:jc w:val="both"/>
            </w:pPr>
            <w:r>
              <w:rPr>
                <w:sz w:val="24"/>
              </w:rPr>
              <w:t>佛山考区每次面试预计设置5个正式考点学校和1个备用考点学校，2次面试合共12个考点学校。由于考生人数的不确定性，最后启用的考点学校数量以实际为准。</w:t>
            </w:r>
          </w:p>
        </w:tc>
      </w:tr>
      <w:tr>
        <w:tc>
          <w:tcPr>
            <w:tcW w:type="dxa" w:w="2076"/>
          </w:tcPr>
          <w:p/>
        </w:tc>
        <w:tc>
          <w:tcPr>
            <w:tcW w:type="dxa" w:w="415"/>
          </w:tcPr>
          <w:p>
            <w:r>
              <w:rPr/>
              <w:t>2</w:t>
            </w:r>
          </w:p>
        </w:tc>
        <w:tc>
          <w:tcPr>
            <w:tcW w:type="dxa" w:w="5814"/>
          </w:tcPr>
          <w:p>
            <w:pPr>
              <w:numPr>
                <w:ilvl w:val="0"/>
                <w:numId w:val="1"/>
              </w:numPr>
              <w:jc w:val="both"/>
            </w:pPr>
            <w:r>
              <w:rPr>
                <w:b/>
                <w:sz w:val="24"/>
              </w:rPr>
              <w:t>每个考点学校布置和值守服务设备采购清单：</w:t>
            </w:r>
          </w:p>
          <w:p>
            <w:pPr>
              <w:numPr>
                <w:ilvl w:val="0"/>
                <w:numId w:val="1"/>
              </w:numPr>
              <w:jc w:val="both"/>
            </w:pPr>
          </w:p>
          <w:tbl>
            <w:tblGrid>
              <w:gridCol w:w="461"/>
              <w:gridCol w:w="0"/>
              <w:gridCol w:w="1153"/>
              <w:gridCol w:w="2940"/>
              <w:gridCol w:w="519"/>
              <w:gridCol w:w="519"/>
            </w:tblGrid>
            <w:tr>
              <w:tc>
                <w:tcPr>
                  <w:tcW w:type="dxa" w:w="461"/>
                  <w:gridSpan w:val="2"/>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1153"/>
                  <w:tcBorders>
                    <w:top w:val="single" w:color="000000" w:sz="4"/>
                    <w:left w:val="none" w:color="000000" w:sz="4"/>
                    <w:bottom w:val="single" w:color="000000" w:sz="4"/>
                    <w:right w:val="single" w:color="000000" w:sz="4"/>
                  </w:tcBorders>
                </w:tcPr>
                <w:p>
                  <w:pPr>
                    <w:jc w:val="center"/>
                  </w:pPr>
                  <w:r>
                    <w:rPr>
                      <w:b/>
                      <w:color w:val="000000"/>
                      <w:sz w:val="24"/>
                    </w:rPr>
                    <w:t>服务名称</w:t>
                  </w:r>
                </w:p>
              </w:tc>
              <w:tc>
                <w:tcPr>
                  <w:tcW w:type="dxa" w:w="2940"/>
                  <w:tcBorders>
                    <w:top w:val="single" w:color="000000" w:sz="4"/>
                    <w:left w:val="none" w:color="000000" w:sz="4"/>
                    <w:bottom w:val="single" w:color="000000" w:sz="4"/>
                    <w:right w:val="single" w:color="000000" w:sz="4"/>
                  </w:tcBorders>
                </w:tcPr>
                <w:p>
                  <w:pPr>
                    <w:jc w:val="center"/>
                  </w:pPr>
                  <w:r>
                    <w:rPr>
                      <w:b/>
                      <w:color w:val="000000"/>
                      <w:sz w:val="24"/>
                    </w:rPr>
                    <w:t>服务描述</w:t>
                  </w:r>
                </w:p>
              </w:tc>
              <w:tc>
                <w:tcPr>
                  <w:tcW w:type="dxa" w:w="519"/>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519"/>
                  <w:tcBorders>
                    <w:top w:val="single" w:color="000000" w:sz="4"/>
                    <w:left w:val="none" w:color="000000" w:sz="4"/>
                    <w:bottom w:val="single" w:color="000000" w:sz="4"/>
                    <w:right w:val="single" w:color="000000" w:sz="4"/>
                  </w:tcBorders>
                </w:tcPr>
                <w:p>
                  <w:pPr>
                    <w:jc w:val="center"/>
                  </w:pPr>
                  <w:r>
                    <w:rPr>
                      <w:b/>
                      <w:color w:val="000000"/>
                      <w:sz w:val="24"/>
                    </w:rPr>
                    <w:t>数量</w:t>
                  </w:r>
                </w:p>
              </w:tc>
            </w:tr>
            <w:tr>
              <w:tc>
                <w:tcPr>
                  <w:tcW w:type="dxa" w:w="5592"/>
                  <w:gridSpan w:val="6"/>
                  <w:tcBorders>
                    <w:top w:val="none" w:color="000000" w:sz="4"/>
                    <w:left w:val="single" w:color="000000" w:sz="4"/>
                    <w:bottom w:val="single" w:color="000000" w:sz="4"/>
                    <w:right w:val="single" w:color="000000" w:sz="4"/>
                  </w:tcBorders>
                </w:tcPr>
                <w:p>
                  <w:pPr>
                    <w:jc w:val="left"/>
                  </w:pPr>
                  <w:r>
                    <w:rPr>
                      <w:b/>
                      <w:color w:val="000000"/>
                      <w:sz w:val="24"/>
                    </w:rPr>
                    <w:t>一、设备保障服务</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1153"/>
                  <w:tcBorders>
                    <w:top w:val="non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（服务器和存储设备保障服务1）</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提供9成新服务器（每个考点租借2台），性能要求如下：</w:t>
                  </w:r>
                  <w:r>
                    <w:br/>
                  </w:r>
                  <w:r>
                    <w:rPr>
                      <w:color w:val="000000"/>
                      <w:sz w:val="24"/>
                    </w:rPr>
                    <w:t>CPU：≥2颗CPU（主频不低于2.0GHz，核数不少于8核，相当于E5-2650）；</w:t>
                  </w:r>
                  <w:r>
                    <w:br/>
                  </w:r>
                  <w:r>
                    <w:rPr>
                      <w:color w:val="000000"/>
                      <w:sz w:val="24"/>
                    </w:rPr>
                    <w:t>内存：≥64G；</w:t>
                  </w:r>
                  <w:r>
                    <w:br/>
                  </w:r>
                  <w:r>
                    <w:rPr>
                      <w:color w:val="000000"/>
                      <w:sz w:val="24"/>
                    </w:rPr>
                    <w:t>硬盘：≥600G SAS；</w:t>
                  </w:r>
                  <w:r>
                    <w:br/>
                  </w:r>
                  <w:r>
                    <w:rPr>
                      <w:color w:val="000000"/>
                      <w:sz w:val="24"/>
                    </w:rPr>
                    <w:t>硬盘热插拔：支持；</w:t>
                  </w:r>
                  <w:r>
                    <w:br/>
                  </w:r>
                  <w:r>
                    <w:rPr>
                      <w:color w:val="000000"/>
                      <w:sz w:val="24"/>
                    </w:rPr>
                    <w:t>磁盘阵列卡：要求独立阵列卡，可支持Raid1、Raid5；</w:t>
                  </w:r>
                  <w:r>
                    <w:br/>
                  </w:r>
                  <w:r>
                    <w:rPr>
                      <w:color w:val="000000"/>
                      <w:sz w:val="24"/>
                    </w:rPr>
                    <w:t>电源：≥720W</w:t>
                  </w:r>
                  <w:r>
                    <w:br/>
                  </w:r>
                  <w:r>
                    <w:rPr>
                      <w:color w:val="000000"/>
                      <w:sz w:val="24"/>
                    </w:rPr>
                    <w:t>类型：机架式服务器</w:t>
                  </w:r>
                  <w:r>
                    <w:br/>
                  </w:r>
                  <w:r>
                    <w:rPr>
                      <w:color w:val="000000"/>
                      <w:sz w:val="24"/>
                    </w:rPr>
                    <w:t>光驱：支持DVD</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（服务器和存储设备保障服务2）</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提供9成新存储设备（每个考点租借2台），性能要求如下：</w:t>
                  </w:r>
                  <w:r>
                    <w:br/>
                  </w:r>
                  <w:r>
                    <w:rPr>
                      <w:color w:val="000000"/>
                      <w:sz w:val="24"/>
                    </w:rPr>
                    <w:t>硬盘总容量：不少于4TB</w:t>
                  </w:r>
                  <w:r>
                    <w:br/>
                  </w:r>
                  <w:r>
                    <w:rPr>
                      <w:color w:val="000000"/>
                      <w:sz w:val="24"/>
                    </w:rPr>
                    <w:t>磁盘热插拔支持：支持</w:t>
                  </w:r>
                  <w:r>
                    <w:br/>
                  </w:r>
                  <w:r>
                    <w:rPr>
                      <w:color w:val="000000"/>
                      <w:sz w:val="24"/>
                    </w:rPr>
                    <w:t>最大存储空间数：支持≥64</w:t>
                  </w:r>
                  <w:r>
                    <w:br/>
                  </w:r>
                  <w:r>
                    <w:rPr>
                      <w:color w:val="000000"/>
                      <w:sz w:val="24"/>
                    </w:rPr>
                    <w:t>最大 iSCSI Target 数：支持≥128以</w:t>
                  </w:r>
                  <w:r>
                    <w:br/>
                  </w:r>
                  <w:r>
                    <w:rPr>
                      <w:color w:val="000000"/>
                      <w:sz w:val="24"/>
                    </w:rPr>
                    <w:t>最大 iSCSI LUN 数：支持≥256</w:t>
                  </w:r>
                  <w:r>
                    <w:br/>
                  </w:r>
                  <w:r>
                    <w:rPr>
                      <w:color w:val="000000"/>
                      <w:sz w:val="24"/>
                    </w:rPr>
                    <w:t>SSD 读取/写入快取：支持</w:t>
                  </w:r>
                  <w:r>
                    <w:br/>
                  </w:r>
                  <w:r>
                    <w:rPr>
                      <w:color w:val="000000"/>
                      <w:sz w:val="24"/>
                    </w:rPr>
                    <w:t>SSD TRIM：支持</w:t>
                  </w:r>
                  <w:r>
                    <w:br/>
                  </w:r>
                  <w:r>
                    <w:rPr>
                      <w:color w:val="000000"/>
                      <w:sz w:val="24"/>
                    </w:rPr>
                    <w:t>虚拟化支持：VMware vSphere 6 with VAAI，Windows Server 2012，Windows Server 2012 R2，Windows Server 2016，Citrix Ready，OpenStack</w:t>
                  </w:r>
                  <w:r>
                    <w:br/>
                  </w:r>
                  <w:r>
                    <w:rPr>
                      <w:color w:val="000000"/>
                      <w:sz w:val="24"/>
                    </w:rPr>
                    <w:t>端口数：不少于2个USB 3.0端口，1个 eSATA端口，2个RJ-45 1GbE(支持Link Aggregation/故障移转)</w:t>
                  </w:r>
                  <w:r>
                    <w:br/>
                  </w:r>
                  <w:r>
                    <w:rPr>
                      <w:color w:val="000000"/>
                      <w:sz w:val="24"/>
                    </w:rPr>
                    <w:t>性能要求：不低于支持RAID磁盘阵列类型：Basic，JBOD，RAID 0，RAID 1，RAID 5 ，RAID 6 ，RAID 10</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（服务器和存储设备保障服务3）</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所提供的存储提前部署集群服务，集群性能如下：</w:t>
                  </w:r>
                  <w:r>
                    <w:br/>
                  </w:r>
                  <w:r>
                    <w:rPr>
                      <w:color w:val="000000"/>
                      <w:sz w:val="24"/>
                    </w:rPr>
                    <w:t>1.组成一个具有高可用性的集群，以尽量缩短停机时间</w:t>
                  </w:r>
                  <w:r>
                    <w:br/>
                  </w:r>
                  <w:r>
                    <w:rPr>
                      <w:color w:val="000000"/>
                      <w:sz w:val="24"/>
                    </w:rPr>
                    <w:t>2.存储空间和块级 iSCSI LUN 总共的数量上限≥64</w:t>
                  </w:r>
                  <w:r>
                    <w:br/>
                  </w:r>
                  <w:r>
                    <w:rPr>
                      <w:color w:val="000000"/>
                      <w:sz w:val="24"/>
                    </w:rPr>
                    <w:t>3.VLAN 支持</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（服务器和存储设备保障服务4）</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虚拟化集群部署：</w:t>
                  </w:r>
                  <w:r>
                    <w:br/>
                  </w:r>
                  <w:r>
                    <w:rPr>
                      <w:color w:val="000000"/>
                      <w:sz w:val="24"/>
                    </w:rPr>
                    <w:t>1、提供虚拟化集群部署服务，及该软件在考试期间的使用权。当集群中的主机硬件或虚拟化软件发生故障时，该主机上的虚拟机可以在集群之内的其它主机上自动重启。当虚拟机的客户操作系统出现故障时，可以自动重启该虚拟机客户操作系统，保障业务连续性。</w:t>
                  </w:r>
                  <w:r>
                    <w:br/>
                  </w:r>
                  <w:r>
                    <w:rPr>
                      <w:color w:val="000000"/>
                      <w:sz w:val="24"/>
                    </w:rPr>
                    <w:t>2、系统应支持容错机制，可以保证运行虚拟机的主机发生故障时，虚拟机会自动触发透明故障切换，同时不会引起任何数据丢失或停机。支持不少于1个虚拟 CPU的工作负载容错功能。</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（服务器和存储设备保障服务5）</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安全防护部署：</w:t>
                  </w:r>
                  <w:r>
                    <w:br/>
                  </w:r>
                  <w:r>
                    <w:rPr>
                      <w:color w:val="000000"/>
                      <w:sz w:val="24"/>
                    </w:rPr>
                    <w:t>1、提供一套安全防护软件在考试期间使用，实时监控并清除来自各种途径的病毒、木马、蠕虫、恶意软件、勒索软件、黑客工具等；</w:t>
                  </w:r>
                  <w:r>
                    <w:br/>
                  </w:r>
                  <w:r>
                    <w:rPr>
                      <w:color w:val="000000"/>
                      <w:sz w:val="24"/>
                    </w:rPr>
                    <w:t>2、安全防护软件自带数据库，安装后可以自行存储各类日志以及相关数据，同时也可以外接MSSQL数据库；</w:t>
                  </w:r>
                  <w:r>
                    <w:br/>
                  </w:r>
                  <w:r>
                    <w:rPr>
                      <w:color w:val="000000"/>
                      <w:sz w:val="24"/>
                    </w:rPr>
                    <w:t>3、安全防护软件具备病毒爆发防御功能。当最新病毒爆发时，可在病毒代码未完成之前自动对企业网络中的病毒传播端口、共享等进行关闭，切断病毒传播途径，预防最新病毒的攻击。</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（服务器和存储设备保障服务6）</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安全备份部署：</w:t>
                  </w:r>
                  <w:r>
                    <w:br/>
                  </w:r>
                  <w:r>
                    <w:rPr>
                      <w:color w:val="000000"/>
                      <w:sz w:val="24"/>
                    </w:rPr>
                    <w:t>1、提供一套安全备份软件在考试期间使用，为整个考试的业务系统提供备份服务，故障备份软件能在5分钟内恢复业务且考试数据不能损失超过10分钟（即：软件支持增量备份10分钟内做一次）</w:t>
                  </w:r>
                  <w:r>
                    <w:br/>
                  </w:r>
                  <w:r>
                    <w:rPr>
                      <w:color w:val="000000"/>
                      <w:sz w:val="24"/>
                    </w:rPr>
                    <w:t>2、在所有虚拟、物理和云端工作负载中实现智能数据管理。借助单个管理控制台，快速、灵活和可靠地备份、恢复及复制所有应用程序和数据。</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（桌面设备保障服务1）</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提供8成新手提电脑（用于考试室）：性能要求如下：</w:t>
                  </w:r>
                  <w:r>
                    <w:br/>
                  </w:r>
                  <w:r>
                    <w:rPr>
                      <w:color w:val="000000"/>
                      <w:sz w:val="24"/>
                    </w:rPr>
                    <w:t>CPU：不低于Intel I5性能</w:t>
                  </w:r>
                  <w:r>
                    <w:br/>
                  </w:r>
                  <w:r>
                    <w:rPr>
                      <w:color w:val="000000"/>
                      <w:sz w:val="24"/>
                    </w:rPr>
                    <w:t>内存：不少于4GB</w:t>
                  </w:r>
                  <w:r>
                    <w:br/>
                  </w:r>
                  <w:r>
                    <w:rPr>
                      <w:color w:val="000000"/>
                      <w:sz w:val="24"/>
                    </w:rPr>
                    <w:t>硬盘：不少于120GB</w:t>
                  </w:r>
                  <w:r>
                    <w:br/>
                  </w:r>
                  <w:r>
                    <w:rPr>
                      <w:color w:val="000000"/>
                      <w:sz w:val="24"/>
                    </w:rPr>
                    <w:t>显卡：集成显卡</w:t>
                  </w:r>
                  <w:r>
                    <w:br/>
                  </w:r>
                  <w:r>
                    <w:rPr>
                      <w:color w:val="000000"/>
                      <w:sz w:val="24"/>
                    </w:rPr>
                    <w:t>屏幕：不低于14寸</w:t>
                  </w:r>
                  <w:r>
                    <w:br/>
                  </w:r>
                  <w:r>
                    <w:rPr>
                      <w:color w:val="000000"/>
                      <w:sz w:val="24"/>
                    </w:rPr>
                    <w:t>描述：每个考点30个考室，每个考室4台电脑</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120</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（桌面设备保障服务2）</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提供8成新手提电脑（用于抽题室），性能要求如下：</w:t>
                  </w:r>
                  <w:r>
                    <w:br/>
                  </w:r>
                  <w:r>
                    <w:rPr>
                      <w:color w:val="000000"/>
                      <w:sz w:val="24"/>
                    </w:rPr>
                    <w:t>CPU：不低于Intel I5性能</w:t>
                  </w:r>
                  <w:r>
                    <w:br/>
                  </w:r>
                  <w:r>
                    <w:rPr>
                      <w:color w:val="000000"/>
                      <w:sz w:val="24"/>
                    </w:rPr>
                    <w:t>内存：不少于4GB</w:t>
                  </w:r>
                  <w:r>
                    <w:br/>
                  </w:r>
                  <w:r>
                    <w:rPr>
                      <w:color w:val="000000"/>
                      <w:sz w:val="24"/>
                    </w:rPr>
                    <w:t>硬盘：不少于120GB</w:t>
                  </w:r>
                  <w:r>
                    <w:br/>
                  </w:r>
                  <w:r>
                    <w:rPr>
                      <w:color w:val="000000"/>
                      <w:sz w:val="24"/>
                    </w:rPr>
                    <w:t>显卡：集成显卡</w:t>
                  </w:r>
                  <w:r>
                    <w:br/>
                  </w:r>
                  <w:r>
                    <w:rPr>
                      <w:color w:val="000000"/>
                      <w:sz w:val="24"/>
                    </w:rPr>
                    <w:t>屏幕：不低于14寸</w:t>
                  </w:r>
                  <w:r>
                    <w:br/>
                  </w:r>
                  <w:r>
                    <w:rPr>
                      <w:color w:val="000000"/>
                      <w:sz w:val="24"/>
                    </w:rPr>
                    <w:t>描述：每个考点2个抽题室，每个抽题室10台电脑</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20</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（桌面设备保障服务3）</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提供8成新手提电脑（用于故障应急），性能要求如下：</w:t>
                  </w:r>
                  <w:r>
                    <w:br/>
                  </w:r>
                  <w:r>
                    <w:rPr>
                      <w:color w:val="000000"/>
                      <w:sz w:val="24"/>
                    </w:rPr>
                    <w:t>CPU：不低于Intel I5性能</w:t>
                  </w:r>
                  <w:r>
                    <w:br/>
                  </w:r>
                  <w:r>
                    <w:rPr>
                      <w:color w:val="000000"/>
                      <w:sz w:val="24"/>
                    </w:rPr>
                    <w:t>内存：不少于4GB</w:t>
                  </w:r>
                  <w:r>
                    <w:br/>
                  </w:r>
                  <w:r>
                    <w:rPr>
                      <w:color w:val="000000"/>
                      <w:sz w:val="24"/>
                    </w:rPr>
                    <w:t>硬盘：不少于120GB</w:t>
                  </w:r>
                  <w:r>
                    <w:br/>
                  </w:r>
                  <w:r>
                    <w:rPr>
                      <w:color w:val="000000"/>
                      <w:sz w:val="24"/>
                    </w:rPr>
                    <w:t>显卡：集成显卡</w:t>
                  </w:r>
                  <w:r>
                    <w:br/>
                  </w:r>
                  <w:r>
                    <w:rPr>
                      <w:color w:val="000000"/>
                      <w:sz w:val="24"/>
                    </w:rPr>
                    <w:t>屏幕：不低于14寸</w:t>
                  </w:r>
                  <w:r>
                    <w:br/>
                  </w:r>
                  <w:r>
                    <w:rPr>
                      <w:color w:val="000000"/>
                      <w:sz w:val="24"/>
                    </w:rPr>
                    <w:t>描述：每个考点需求5台备用</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5</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1153"/>
                  <w:tcBorders>
                    <w:top w:val="single" w:color="000000" w:sz="4"/>
                    <w:left w:val="none" w:color="000000" w:sz="4"/>
                    <w:bottom w:val="none" w:color="000000" w:sz="4"/>
                    <w:right w:val="single" w:color="000000" w:sz="4"/>
                  </w:tcBorders>
                </w:tcPr>
                <w:p>
                  <w:pPr>
                    <w:jc w:val="center"/>
                  </w:pPr>
                  <w:r>
                    <w:rPr>
                      <w:color w:val="000000"/>
                      <w:sz w:val="24"/>
                    </w:rPr>
                    <w:t>技术服务</w:t>
                  </w:r>
                </w:p>
                <w:p>
                  <w:pPr>
                    <w:jc w:val="center"/>
                  </w:pPr>
                  <w:r>
                    <w:rPr>
                      <w:color w:val="000000"/>
                      <w:sz w:val="24"/>
                    </w:rPr>
                    <w:t>（桌面设备保障服务4）</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考前对提供的手提电脑进行格式化和windows 7系统的安装，考后对所有考试数据进行抹除。</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145</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1153"/>
                  <w:tcBorders>
                    <w:top w:val="singl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（其他设备保障服务）</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提供对讲机用于考试服务团队内部协调（每个考点20台）</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20</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12</w:t>
                  </w:r>
                </w:p>
              </w:tc>
              <w:tc>
                <w:tcPr>
                  <w:tcW w:type="dxa" w:w="1153"/>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（网络和信息安全设备保障服务1）</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需要提供交换机，电源插板及网线等等，并保障电源及网络正常使用。</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13</w:t>
                  </w:r>
                </w:p>
              </w:tc>
              <w:tc>
                <w:tcPr>
                  <w:tcW w:type="dxa" w:w="1153"/>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（网络和信息安全设备保障服务2）</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系统保障服务（UPS不间断电源）：每个考点提供1台UPS进行保障，供电时间不低于4小时。</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gridSpan w:val="2"/>
                  <w:tcBorders>
                    <w:top w:val="none" w:color="000000" w:sz="4"/>
                    <w:left w:val="single" w:color="000000" w:sz="4"/>
                    <w:bottom w:val="single" w:color="000000" w:sz="4"/>
                    <w:right w:val="single" w:color="000000" w:sz="4"/>
                  </w:tcBorders>
                </w:tcPr>
                <w:p>
                  <w:pPr>
                    <w:jc w:val="center"/>
                  </w:pPr>
                  <w:r>
                    <w:rPr>
                      <w:color w:val="000000"/>
                      <w:sz w:val="24"/>
                    </w:rPr>
                    <w:t>14</w:t>
                  </w:r>
                </w:p>
              </w:tc>
              <w:tc>
                <w:tcPr>
                  <w:tcW w:type="dxa" w:w="1153"/>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（音视频设备保障服务）</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租借的摄像机9成新以上，及性能参数如下：</w:t>
                  </w:r>
                  <w:r>
                    <w:br/>
                  </w:r>
                  <w:r>
                    <w:rPr>
                      <w:color w:val="000000"/>
                      <w:sz w:val="24"/>
                    </w:rPr>
                    <w:t>传感器类型：1/2.9" Progressive Scan CMOS</w:t>
                  </w:r>
                  <w:r>
                    <w:br/>
                  </w:r>
                  <w:r>
                    <w:rPr>
                      <w:color w:val="000000"/>
                      <w:sz w:val="24"/>
                    </w:rPr>
                    <w:t>快门：快门自适应</w:t>
                  </w:r>
                  <w:r>
                    <w:br/>
                  </w:r>
                  <w:r>
                    <w:rPr>
                      <w:color w:val="000000"/>
                      <w:sz w:val="24"/>
                    </w:rPr>
                    <w:t>镜头：4mm@F2.0，对角94°</w:t>
                  </w:r>
                  <w:r>
                    <w:br/>
                  </w:r>
                  <w:r>
                    <w:rPr>
                      <w:color w:val="000000"/>
                      <w:sz w:val="24"/>
                    </w:rPr>
                    <w:t>云台角度：水平0°-340°,垂直向上105°,向下15°</w:t>
                  </w:r>
                  <w:r>
                    <w:br/>
                  </w:r>
                  <w:r>
                    <w:rPr>
                      <w:color w:val="000000"/>
                      <w:sz w:val="24"/>
                    </w:rPr>
                    <w:t>镜头接口类型：M12</w:t>
                  </w:r>
                  <w:r>
                    <w:br/>
                  </w:r>
                  <w:r>
                    <w:rPr>
                      <w:color w:val="000000"/>
                      <w:sz w:val="24"/>
                    </w:rPr>
                    <w:t>视频压缩标准：H.264</w:t>
                  </w:r>
                  <w:r>
                    <w:br/>
                  </w:r>
                  <w:r>
                    <w:rPr>
                      <w:color w:val="000000"/>
                      <w:sz w:val="24"/>
                    </w:rPr>
                    <w:t>H.264编码类型：Main Profile</w:t>
                  </w:r>
                  <w:r>
                    <w:br/>
                  </w:r>
                  <w:r>
                    <w:rPr>
                      <w:color w:val="000000"/>
                      <w:sz w:val="24"/>
                    </w:rPr>
                    <w:t>最大图像尺寸：1920 × 1080 支持双码流</w:t>
                  </w:r>
                  <w:r>
                    <w:br/>
                  </w:r>
                  <w:r>
                    <w:rPr>
                      <w:color w:val="000000"/>
                      <w:sz w:val="24"/>
                    </w:rPr>
                    <w:t>帧率：网传帧率自适应</w:t>
                  </w:r>
                  <w:r>
                    <w:br/>
                  </w:r>
                  <w:r>
                    <w:rPr>
                      <w:color w:val="000000"/>
                      <w:sz w:val="24"/>
                    </w:rPr>
                    <w:t>图像设置：亮度，对比度，饱和度等</w:t>
                  </w:r>
                  <w:r>
                    <w:br/>
                  </w:r>
                  <w:r>
                    <w:rPr>
                      <w:color w:val="000000"/>
                      <w:sz w:val="24"/>
                    </w:rPr>
                    <w:t>背光补偿：支持</w:t>
                  </w:r>
                  <w:r>
                    <w:br/>
                  </w:r>
                  <w:r>
                    <w:rPr>
                      <w:color w:val="000000"/>
                      <w:sz w:val="24"/>
                    </w:rPr>
                    <w:t>智能报警：移动侦测</w:t>
                  </w:r>
                  <w:r>
                    <w:br/>
                  </w:r>
                  <w:r>
                    <w:rPr>
                      <w:color w:val="000000"/>
                      <w:sz w:val="24"/>
                    </w:rPr>
                    <w:t>通用功能：防闪烁，双码流，心跳，镜像，密码保护，水印</w:t>
                  </w:r>
                  <w:r>
                    <w:br/>
                  </w:r>
                  <w:r>
                    <w:rPr>
                      <w:color w:val="000000"/>
                      <w:sz w:val="24"/>
                    </w:rPr>
                    <w:t>存储接口：Micro SD 卡(最大128G)</w:t>
                  </w:r>
                  <w:r>
                    <w:br/>
                  </w:r>
                  <w:r>
                    <w:rPr>
                      <w:color w:val="000000"/>
                      <w:sz w:val="24"/>
                    </w:rPr>
                    <w:t>电源接口：Micro USB接口</w:t>
                  </w:r>
                  <w:r>
                    <w:br/>
                  </w:r>
                  <w:r>
                    <w:rPr>
                      <w:color w:val="000000"/>
                      <w:sz w:val="24"/>
                    </w:rPr>
                    <w:t>有线网口：一个RJ45，10M/100M自适应以太网口</w:t>
                  </w:r>
                  <w:r>
                    <w:br/>
                  </w:r>
                  <w:r>
                    <w:rPr>
                      <w:color w:val="000000"/>
                      <w:sz w:val="24"/>
                    </w:rPr>
                    <w:t>无线标准：IEEE802.11b, 802.11g, 802.11n</w:t>
                  </w:r>
                  <w:r>
                    <w:br/>
                  </w:r>
                  <w:r>
                    <w:rPr>
                      <w:color w:val="000000"/>
                      <w:sz w:val="24"/>
                    </w:rPr>
                    <w:t>频率范围：2.4 GHz ~ 2.4835 GHz</w:t>
                  </w:r>
                  <w:r>
                    <w:br/>
                  </w:r>
                  <w:r>
                    <w:rPr>
                      <w:color w:val="000000"/>
                      <w:sz w:val="24"/>
                    </w:rPr>
                    <w:t>信道带宽：支持20MHz</w:t>
                  </w:r>
                  <w:r>
                    <w:br/>
                  </w:r>
                  <w:r>
                    <w:rPr>
                      <w:color w:val="000000"/>
                      <w:sz w:val="24"/>
                    </w:rPr>
                    <w:t>安全：64/128-bit WEP， WPA/WPA2， WPA-PSK/WPA2-PSK</w:t>
                  </w:r>
                  <w:r>
                    <w:br/>
                  </w:r>
                  <w:r>
                    <w:rPr>
                      <w:color w:val="000000"/>
                      <w:sz w:val="24"/>
                    </w:rPr>
                    <w:t>每个摄像机附带一张内存卡：容量≥32G</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40</w:t>
                  </w:r>
                </w:p>
              </w:tc>
            </w:tr>
            <w:tr>
              <w:tc>
                <w:tcPr>
                  <w:tcW w:type="dxa" w:w="5592"/>
                  <w:gridSpan w:val="6"/>
                  <w:tcBorders>
                    <w:top w:val="none" w:color="000000" w:sz="4"/>
                    <w:left w:val="single" w:color="000000" w:sz="4"/>
                    <w:bottom w:val="single" w:color="000000" w:sz="4"/>
                    <w:right w:val="single" w:color="000000" w:sz="4"/>
                  </w:tcBorders>
                </w:tcPr>
                <w:p>
                  <w:pPr>
                    <w:jc w:val="left"/>
                  </w:pPr>
                  <w:r>
                    <w:rPr>
                      <w:b/>
                      <w:color w:val="000000"/>
                      <w:sz w:val="24"/>
                    </w:rPr>
                    <w:t>二、技术保障服务</w:t>
                  </w:r>
                </w:p>
              </w:tc>
            </w:tr>
            <w:tr>
              <w:tc>
                <w:tcPr>
                  <w:tcW w:type="dxa" w:w="461"/>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1153"/>
                  <w:gridSpan w:val="2"/>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（网络通信服务1）</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提前一星期对各信息点进行连通性测试。</w:t>
                  </w:r>
                  <w:r>
                    <w:br/>
                  </w:r>
                  <w:r>
                    <w:rPr>
                      <w:color w:val="000000"/>
                      <w:sz w:val="24"/>
                    </w:rPr>
                    <w:t>考前对各个考点进行福禄克测试。（网络性能测试：对每个考点、每间考室进行网络的回波损耗、传输时延、NEXT近端串扰等测试。）提供福禄克测试报告。</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1153"/>
                  <w:gridSpan w:val="2"/>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（网络通信服务2）</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每个试室4台电脑， 2个抽题室各配备10台电脑，包含部署电脑及其所需接线（鼠标、电源等），线路梳理整齐，并保障设备正常使用。</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vMerge w:val="restart"/>
                  <w:tcBorders>
                    <w:top w:val="none" w:color="000000" w:sz="4"/>
                    <w:left w:val="single" w:color="000000" w:sz="4"/>
                    <w:bottom w:val="single" w:color="000000" w:sz="4"/>
                    <w:right w:val="single" w:color="000000" w:sz="4"/>
                  </w:tcBorders>
                </w:tcPr>
                <w:p>
                  <w:pPr>
                    <w:jc w:val="center"/>
                  </w:pPr>
                  <w:r>
                    <w:rPr>
                      <w:color w:val="000000"/>
                      <w:sz w:val="24"/>
                    </w:rPr>
                    <w:t>3</w:t>
                  </w:r>
                </w:p>
                <w:p>
                  <w:pPr>
                    <w:jc w:val="center"/>
                  </w:pPr>
                </w:p>
              </w:tc>
              <w:tc>
                <w:tcPr>
                  <w:tcW w:type="dxa" w:w="1153"/>
                  <w:gridSpan w:val="2"/>
                  <w:vMerge w:val="restart"/>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（考点现场值守服务）</w:t>
                  </w:r>
                </w:p>
                <w:p>
                  <w:pPr>
                    <w:jc w:val="center"/>
                  </w:pPr>
                </w:p>
              </w:tc>
              <w:tc>
                <w:tcPr>
                  <w:tcW w:type="dxa" w:w="2940"/>
                  <w:tcBorders>
                    <w:top w:val="none" w:color="000000" w:sz="4"/>
                    <w:left w:val="none" w:color="000000" w:sz="4"/>
                    <w:bottom w:val="single" w:color="000000" w:sz="4"/>
                    <w:right w:val="single" w:color="000000" w:sz="4"/>
                  </w:tcBorders>
                </w:tcPr>
                <w:p>
                  <w:pPr>
                    <w:jc w:val="left"/>
                  </w:pPr>
                  <w:r>
                    <w:rPr>
                      <w:color w:val="000000"/>
                      <w:sz w:val="24"/>
                    </w:rPr>
                    <w:t>考试分两天进行，考试期间考点需派专业技术人员值守，每个考点至少10个人保障，确保考试顺利进行（需要提前1天入场保障，考试期间处理突发的电脑、网络等可能出现的故障）。具体人员要求如下：</w:t>
                  </w:r>
                </w:p>
              </w:tc>
              <w:tc>
                <w:tcPr>
                  <w:tcW w:type="dxa" w:w="519"/>
                  <w:vMerge w:val="restart"/>
                  <w:tcBorders>
                    <w:top w:val="none" w:color="000000" w:sz="4"/>
                    <w:left w:val="none" w:color="000000" w:sz="4"/>
                    <w:bottom w:val="single" w:color="000000" w:sz="4"/>
                    <w:right w:val="single" w:color="000000" w:sz="4"/>
                  </w:tcBorders>
                </w:tcPr>
                <w:p>
                  <w:pPr>
                    <w:jc w:val="center"/>
                  </w:pPr>
                  <w:r>
                    <w:rPr>
                      <w:color w:val="000000"/>
                      <w:sz w:val="24"/>
                    </w:rPr>
                    <w:t>项</w:t>
                  </w:r>
                </w:p>
                <w:p>
                  <w:pPr>
                    <w:jc w:val="center"/>
                  </w:pPr>
                </w:p>
              </w:tc>
              <w:tc>
                <w:tcPr>
                  <w:tcW w:type="dxa" w:w="519"/>
                  <w:vMerge w:val="restart"/>
                  <w:tcBorders>
                    <w:top w:val="none" w:color="000000" w:sz="4"/>
                    <w:left w:val="none" w:color="000000" w:sz="4"/>
                    <w:bottom w:val="single" w:color="000000" w:sz="4"/>
                    <w:right w:val="single" w:color="000000" w:sz="4"/>
                  </w:tcBorders>
                </w:tcPr>
                <w:p>
                  <w:pPr>
                    <w:jc w:val="center"/>
                  </w:pPr>
                  <w:r>
                    <w:rPr>
                      <w:color w:val="000000"/>
                      <w:sz w:val="24"/>
                    </w:rPr>
                    <w:t>1</w:t>
                  </w:r>
                </w:p>
                <w:p>
                  <w:pPr>
                    <w:jc w:val="center"/>
                  </w:pPr>
                </w:p>
              </w:tc>
            </w:tr>
            <w:tr>
              <w:tc>
                <w:tcPr>
                  <w:tcW w:type="dxa" w:w="461"/>
                  <w:vMerge/>
                  <w:tcBorders>
                    <w:top w:val="none" w:color="000000" w:sz="4"/>
                    <w:left w:val="single" w:color="000000" w:sz="4"/>
                    <w:bottom w:val="single" w:color="000000" w:sz="4"/>
                    <w:right w:val="single" w:color="000000" w:sz="4"/>
                  </w:tcBorders>
                </w:tcPr>
                <w:p/>
              </w:tc>
              <w:tc>
                <w:tcPr>
                  <w:tcW w:type="dxa" w:w="1153"/>
                  <w:gridSpan w:val="2"/>
                  <w:vMerge/>
                  <w:tcBorders>
                    <w:top w:val="none" w:color="000000" w:sz="4"/>
                    <w:left w:val="none" w:color="000000" w:sz="4"/>
                    <w:bottom w:val="single" w:color="000000" w:sz="4"/>
                    <w:right w:val="single" w:color="000000" w:sz="4"/>
                  </w:tcBorders>
                </w:tcPr>
                <w:p/>
              </w:tc>
              <w:tc>
                <w:tcPr>
                  <w:tcW w:type="dxa" w:w="2940"/>
                  <w:tcBorders>
                    <w:top w:val="none" w:color="000000" w:sz="4"/>
                    <w:left w:val="none" w:color="000000" w:sz="4"/>
                    <w:bottom w:val="single" w:color="000000" w:sz="4"/>
                    <w:right w:val="single" w:color="000000" w:sz="4"/>
                  </w:tcBorders>
                </w:tcPr>
                <w:p>
                  <w:pPr>
                    <w:jc w:val="left"/>
                  </w:pPr>
                  <w:r>
                    <w:rPr>
                      <w:color w:val="000000"/>
                      <w:sz w:val="24"/>
                    </w:rPr>
                    <w:t>项目负责人：每个考点至少安排一名项目经理，负责考场总体协调管理，配合现场需求调整人员安排工作，及时响应处理现场突发事件，保障资格考试有序进行。</w:t>
                  </w:r>
                </w:p>
              </w:tc>
            </w:tr>
            <w:tr>
              <w:tc>
                <w:tcPr>
                  <w:tcW w:type="dxa" w:w="461"/>
                  <w:vMerge/>
                  <w:tcBorders>
                    <w:top w:val="none" w:color="000000" w:sz="4"/>
                    <w:left w:val="single" w:color="000000" w:sz="4"/>
                    <w:bottom w:val="single" w:color="000000" w:sz="4"/>
                    <w:right w:val="single" w:color="000000" w:sz="4"/>
                  </w:tcBorders>
                </w:tcPr>
                <w:p/>
              </w:tc>
              <w:tc>
                <w:tcPr>
                  <w:tcW w:type="dxa" w:w="1153"/>
                  <w:gridSpan w:val="2"/>
                  <w:vMerge/>
                  <w:tcBorders>
                    <w:top w:val="none" w:color="000000" w:sz="4"/>
                    <w:left w:val="none" w:color="000000" w:sz="4"/>
                    <w:bottom w:val="single" w:color="000000" w:sz="4"/>
                    <w:right w:val="single" w:color="000000" w:sz="4"/>
                  </w:tcBorders>
                </w:tcPr>
                <w:p/>
              </w:tc>
              <w:tc>
                <w:tcPr>
                  <w:tcW w:type="dxa" w:w="2940"/>
                  <w:tcBorders>
                    <w:top w:val="none" w:color="000000" w:sz="4"/>
                    <w:left w:val="none" w:color="000000" w:sz="4"/>
                    <w:bottom w:val="single" w:color="000000" w:sz="4"/>
                    <w:right w:val="single" w:color="000000" w:sz="4"/>
                  </w:tcBorders>
                </w:tcPr>
                <w:p>
                  <w:pPr>
                    <w:jc w:val="left"/>
                  </w:pPr>
                  <w:r>
                    <w:rPr>
                      <w:color w:val="000000"/>
                      <w:sz w:val="24"/>
                    </w:rPr>
                    <w:t>网络保障方面：针对每年两次的考点面试，机房沿用各学校自身机房，在不改变学校网络架构的条件下，合理运用学校核心及其接入设备，在新提供的服务器中部署考试面试的软件。每个考点至少安排一名网络管理人员在机房确保网络通信传输畅通；并掌握用户端设备接入网络的情况，以便发现问题时可迅速定位。</w:t>
                  </w:r>
                </w:p>
              </w:tc>
            </w:tr>
            <w:tr>
              <w:tc>
                <w:tcPr>
                  <w:tcW w:type="dxa" w:w="461"/>
                  <w:vMerge/>
                  <w:tcBorders>
                    <w:top w:val="none" w:color="000000" w:sz="4"/>
                    <w:left w:val="single" w:color="000000" w:sz="4"/>
                    <w:bottom w:val="single" w:color="000000" w:sz="4"/>
                    <w:right w:val="single" w:color="000000" w:sz="4"/>
                  </w:tcBorders>
                </w:tcPr>
                <w:p/>
              </w:tc>
              <w:tc>
                <w:tcPr>
                  <w:tcW w:type="dxa" w:w="1153"/>
                  <w:gridSpan w:val="2"/>
                  <w:vMerge/>
                  <w:tcBorders>
                    <w:top w:val="none" w:color="000000" w:sz="4"/>
                    <w:left w:val="none" w:color="000000" w:sz="4"/>
                    <w:bottom w:val="single" w:color="000000" w:sz="4"/>
                    <w:right w:val="single" w:color="000000" w:sz="4"/>
                  </w:tcBorders>
                </w:tcPr>
                <w:p/>
              </w:tc>
              <w:tc>
                <w:tcPr>
                  <w:tcW w:type="dxa" w:w="2940"/>
                  <w:tcBorders>
                    <w:top w:val="none" w:color="000000" w:sz="4"/>
                    <w:left w:val="none" w:color="000000" w:sz="4"/>
                    <w:bottom w:val="single" w:color="000000" w:sz="4"/>
                    <w:right w:val="single" w:color="000000" w:sz="4"/>
                  </w:tcBorders>
                </w:tcPr>
                <w:p>
                  <w:pPr>
                    <w:jc w:val="left"/>
                  </w:pPr>
                  <w:r>
                    <w:rPr>
                      <w:color w:val="000000"/>
                      <w:sz w:val="24"/>
                    </w:rPr>
                    <w:t>安全保障方面：每个考点至少安排一名安全主管负责制定项目安全制度工作计划及管理目标，在机房监督检查安全方面工作。并负责组织贯彻实施。</w:t>
                  </w:r>
                </w:p>
              </w:tc>
            </w:tr>
            <w:tr>
              <w:tc>
                <w:tcPr>
                  <w:tcW w:type="dxa" w:w="461"/>
                  <w:vMerge/>
                  <w:tcBorders>
                    <w:top w:val="none" w:color="000000" w:sz="4"/>
                    <w:left w:val="single" w:color="000000" w:sz="4"/>
                    <w:bottom w:val="single" w:color="000000" w:sz="4"/>
                    <w:right w:val="single" w:color="000000" w:sz="4"/>
                  </w:tcBorders>
                </w:tcPr>
                <w:p/>
              </w:tc>
              <w:tc>
                <w:tcPr>
                  <w:tcW w:type="dxa" w:w="1153"/>
                  <w:gridSpan w:val="2"/>
                  <w:vMerge/>
                  <w:tcBorders>
                    <w:top w:val="none" w:color="000000" w:sz="4"/>
                    <w:left w:val="none" w:color="000000" w:sz="4"/>
                    <w:bottom w:val="single" w:color="000000" w:sz="4"/>
                    <w:right w:val="single" w:color="000000" w:sz="4"/>
                  </w:tcBorders>
                </w:tcPr>
                <w:p/>
              </w:tc>
              <w:tc>
                <w:tcPr>
                  <w:tcW w:type="dxa" w:w="2940"/>
                  <w:tcBorders>
                    <w:top w:val="none" w:color="000000" w:sz="4"/>
                    <w:left w:val="none" w:color="000000" w:sz="4"/>
                    <w:bottom w:val="single" w:color="000000" w:sz="4"/>
                    <w:right w:val="single" w:color="000000" w:sz="4"/>
                  </w:tcBorders>
                </w:tcPr>
                <w:p>
                  <w:pPr>
                    <w:jc w:val="left"/>
                  </w:pPr>
                  <w:r>
                    <w:rPr>
                      <w:color w:val="000000"/>
                      <w:sz w:val="24"/>
                    </w:rPr>
                    <w:t>服务器虚拟化保障方面：每个考点至少安排一名服务器值守人员，保障服务器稳定运行，确保业务系统不中断。</w:t>
                  </w:r>
                </w:p>
              </w:tc>
            </w:tr>
            <w:tr>
              <w:tc>
                <w:tcPr>
                  <w:tcW w:type="dxa" w:w="461"/>
                  <w:vMerge/>
                  <w:tcBorders>
                    <w:top w:val="none" w:color="000000" w:sz="4"/>
                    <w:left w:val="single" w:color="000000" w:sz="4"/>
                    <w:bottom w:val="single" w:color="000000" w:sz="4"/>
                    <w:right w:val="single" w:color="000000" w:sz="4"/>
                  </w:tcBorders>
                </w:tcPr>
                <w:p/>
              </w:tc>
              <w:tc>
                <w:tcPr>
                  <w:tcW w:type="dxa" w:w="1153"/>
                  <w:gridSpan w:val="2"/>
                  <w:vMerge/>
                  <w:tcBorders>
                    <w:top w:val="none" w:color="000000" w:sz="4"/>
                    <w:left w:val="none" w:color="000000" w:sz="4"/>
                    <w:bottom w:val="single" w:color="000000" w:sz="4"/>
                    <w:right w:val="single" w:color="000000" w:sz="4"/>
                  </w:tcBorders>
                </w:tcPr>
                <w:p/>
              </w:tc>
              <w:tc>
                <w:tcPr>
                  <w:tcW w:type="dxa" w:w="2940"/>
                  <w:tcBorders>
                    <w:top w:val="none" w:color="000000" w:sz="4"/>
                    <w:left w:val="none" w:color="000000" w:sz="4"/>
                    <w:bottom w:val="single" w:color="000000" w:sz="4"/>
                    <w:right w:val="single" w:color="000000" w:sz="4"/>
                  </w:tcBorders>
                </w:tcPr>
                <w:p>
                  <w:pPr>
                    <w:jc w:val="left"/>
                  </w:pPr>
                  <w:r>
                    <w:rPr>
                      <w:color w:val="000000"/>
                      <w:sz w:val="24"/>
                    </w:rPr>
                    <w:t>存储保障方面：每个考点至少安排一名存储值守人员，保障存储稳定运行，确保业务系统备份正常。</w:t>
                  </w:r>
                </w:p>
              </w:tc>
            </w:tr>
            <w:tr>
              <w:tc>
                <w:tcPr>
                  <w:tcW w:type="dxa" w:w="461"/>
                  <w:vMerge/>
                  <w:tcBorders>
                    <w:top w:val="none" w:color="000000" w:sz="4"/>
                    <w:left w:val="single" w:color="000000" w:sz="4"/>
                    <w:bottom w:val="single" w:color="000000" w:sz="4"/>
                    <w:right w:val="single" w:color="000000" w:sz="4"/>
                  </w:tcBorders>
                </w:tcPr>
                <w:p/>
              </w:tc>
              <w:tc>
                <w:tcPr>
                  <w:tcW w:type="dxa" w:w="1153"/>
                  <w:gridSpan w:val="2"/>
                  <w:vMerge/>
                  <w:tcBorders>
                    <w:top w:val="none" w:color="000000" w:sz="4"/>
                    <w:left w:val="none" w:color="000000" w:sz="4"/>
                    <w:bottom w:val="single" w:color="000000" w:sz="4"/>
                    <w:right w:val="single" w:color="000000" w:sz="4"/>
                  </w:tcBorders>
                </w:tcPr>
                <w:p/>
              </w:tc>
              <w:tc>
                <w:tcPr>
                  <w:tcW w:type="dxa" w:w="2940"/>
                  <w:tcBorders>
                    <w:top w:val="none" w:color="000000" w:sz="4"/>
                    <w:left w:val="none" w:color="000000" w:sz="4"/>
                    <w:bottom w:val="single" w:color="000000" w:sz="4"/>
                    <w:right w:val="single" w:color="000000" w:sz="4"/>
                  </w:tcBorders>
                </w:tcPr>
                <w:p>
                  <w:pPr>
                    <w:jc w:val="left"/>
                  </w:pPr>
                  <w:r>
                    <w:rPr>
                      <w:color w:val="000000"/>
                      <w:sz w:val="24"/>
                    </w:rPr>
                    <w:t>终端保障方面：每个考点设置一名终端保障小组长，每个考点约有4层，每层设置一名终端巡检人员（共5人），在巡查过程中，细心解答各位老师问题，并解决考试过程中发生的各种突发事情。</w:t>
                  </w:r>
                </w:p>
              </w:tc>
            </w:tr>
            <w:tr>
              <w:tc>
                <w:tcPr>
                  <w:tcW w:type="dxa" w:w="461"/>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1153"/>
                  <w:gridSpan w:val="2"/>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（录音录像技术服务费）</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录像摄像机用于考生考试全程录像 （备注：30个试室每个试室1台摄像机，2个抽题室各配备3台摄像机。）</w:t>
                  </w:r>
                  <w:r>
                    <w:br/>
                  </w:r>
                  <w:r>
                    <w:rPr>
                      <w:color w:val="000000"/>
                      <w:sz w:val="24"/>
                    </w:rPr>
                    <w:t>每次考试分两天进行，考试期间考点需派专业技术人员值守，每个考点至少8个人保障，确保考试顺利进行（需要提前1天入场保障，考试期间处理录像摄像机可能出现的故障）。</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r>
              <w:tc>
                <w:tcPr>
                  <w:tcW w:type="dxa" w:w="461"/>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1153"/>
                  <w:gridSpan w:val="2"/>
                  <w:tcBorders>
                    <w:top w:val="none" w:color="000000" w:sz="4"/>
                    <w:left w:val="none" w:color="000000" w:sz="4"/>
                    <w:bottom w:val="single" w:color="000000" w:sz="4"/>
                    <w:right w:val="single" w:color="000000" w:sz="4"/>
                  </w:tcBorders>
                </w:tcPr>
                <w:p>
                  <w:pPr>
                    <w:jc w:val="center"/>
                  </w:pPr>
                  <w:r>
                    <w:rPr>
                      <w:color w:val="000000"/>
                      <w:sz w:val="24"/>
                    </w:rPr>
                    <w:t>技术服务</w:t>
                  </w:r>
                </w:p>
                <w:p>
                  <w:pPr>
                    <w:jc w:val="center"/>
                  </w:pPr>
                  <w:r>
                    <w:rPr>
                      <w:color w:val="000000"/>
                      <w:sz w:val="24"/>
                    </w:rPr>
                    <w:t>（信息资源处理服务）</w:t>
                  </w:r>
                </w:p>
              </w:tc>
              <w:tc>
                <w:tcPr>
                  <w:tcW w:type="dxa" w:w="2940"/>
                  <w:tcBorders>
                    <w:top w:val="none" w:color="000000" w:sz="4"/>
                    <w:left w:val="none" w:color="000000" w:sz="4"/>
                    <w:bottom w:val="single" w:color="000000" w:sz="4"/>
                    <w:right w:val="single" w:color="000000" w:sz="4"/>
                  </w:tcBorders>
                </w:tcPr>
                <w:p>
                  <w:pPr>
                    <w:jc w:val="left"/>
                  </w:pPr>
                  <w:r>
                    <w:rPr>
                      <w:color w:val="000000"/>
                      <w:sz w:val="24"/>
                    </w:rPr>
                    <w:t>每个考点所需维护的数据资源由面试考试当天7点开始记录，第二天考试结束后18点停止记录。所需维护的数据内容为业务系统产生的业务数据流及录音录像产生的教师资格面试各考生的面试情况。在考试期间，服务商会对当天所产生的数据资源进行备份、标签、更新等操作，以确保当天数据的安全性录入，包含每次考试结束后对全国中小学教师资格考试考生考试视频后期剪辑、制作。</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519"/>
                  <w:tcBorders>
                    <w:top w:val="none" w:color="000000" w:sz="4"/>
                    <w:left w:val="none" w:color="000000" w:sz="4"/>
                    <w:bottom w:val="single" w:color="000000" w:sz="4"/>
                    <w:right w:val="single" w:color="000000" w:sz="4"/>
                  </w:tcBorders>
                </w:tcPr>
                <w:p>
                  <w:pPr>
                    <w:jc w:val="center"/>
                  </w:pPr>
                  <w:r>
                    <w:rPr>
                      <w:color w:val="000000"/>
                      <w:sz w:val="24"/>
                    </w:rPr>
                    <w:t>1</w:t>
                  </w:r>
                </w:p>
              </w:tc>
            </w:tr>
          </w:tbl>
        </w:tc>
      </w:tr>
      <w:tr>
        <w:tc>
          <w:tcPr>
            <w:tcW w:type="dxa" w:w="2076"/>
          </w:tcPr>
          <w:p>
            <w:r>
              <w:rPr/>
              <w:t>★</w:t>
            </w:r>
          </w:p>
        </w:tc>
        <w:tc>
          <w:tcPr>
            <w:tcW w:type="dxa" w:w="415"/>
          </w:tcPr>
          <w:p>
            <w:r>
              <w:rPr/>
              <w:t>3</w:t>
            </w:r>
          </w:p>
        </w:tc>
        <w:tc>
          <w:tcPr>
            <w:tcW w:type="dxa" w:w="5814"/>
          </w:tcPr>
          <w:p>
            <w:pPr>
              <w:numPr>
                <w:ilvl w:val="0"/>
                <w:numId w:val="1"/>
              </w:numPr>
              <w:jc w:val="both"/>
            </w:pPr>
            <w:r>
              <w:rPr>
                <w:b/>
                <w:sz w:val="24"/>
              </w:rPr>
              <w:t>测试要求：</w:t>
            </w:r>
          </w:p>
          <w:p>
            <w:pPr>
              <w:numPr>
                <w:ilvl w:val="0"/>
                <w:numId w:val="1"/>
              </w:numPr>
              <w:jc w:val="both"/>
            </w:pPr>
          </w:p>
          <w:p>
            <w:r>
              <w:rPr>
                <w:sz w:val="24"/>
              </w:rPr>
              <w:t>1</w:t>
            </w:r>
            <w:r>
              <w:rPr>
                <w:sz w:val="24"/>
              </w:rPr>
              <w:t>、考试前对各个考场信息点进行福禄克测试（网络性能测试：对每个考点、每间考室进行网络的回波损耗、传输时延、NEXT近端串扰等测试），提供福禄克测试报告。需要在监理的监督下进行，最终测试报告需要监理签名确认。</w:t>
            </w:r>
          </w:p>
          <w:p>
            <w:pPr>
              <w:jc w:val="both"/>
            </w:pPr>
            <w:r>
              <w:rPr>
                <w:sz w:val="24"/>
              </w:rPr>
              <w:t>2</w:t>
            </w:r>
            <w:r>
              <w:rPr>
                <w:sz w:val="24"/>
              </w:rPr>
              <w:t>、考试前挑选一个考点，做以下三项工作的测试部署工作，全程需要在监理的监督下进行，最终测试报告报告需要监理签名确认。</w:t>
            </w:r>
          </w:p>
          <w:p>
            <w:pPr>
              <w:ind w:firstLine="425"/>
              <w:jc w:val="both"/>
            </w:pPr>
            <w:r>
              <w:rPr>
                <w:sz w:val="24"/>
              </w:rPr>
              <w:t>2.1.</w:t>
            </w:r>
            <w:r>
              <w:rPr>
                <w:sz w:val="24"/>
              </w:rPr>
              <w:t>虚拟化集群部署：</w:t>
            </w:r>
          </w:p>
          <w:p>
            <w:pPr>
              <w:ind w:firstLine="425"/>
              <w:jc w:val="both"/>
            </w:pPr>
            <w:r>
              <w:rPr>
                <w:sz w:val="24"/>
              </w:rPr>
              <w:t>a</w:t>
            </w:r>
            <w:r>
              <w:rPr>
                <w:sz w:val="24"/>
              </w:rPr>
              <w:t>.</w:t>
            </w:r>
            <w:r>
              <w:rPr>
                <w:sz w:val="24"/>
              </w:rPr>
              <w:t>提供虚拟化集群部署服务，及该软件在考试期间的使用权。当集群中的主机硬件或虚拟化软件发生故障时，该主机上的虚拟机可以在集群之内的其它主机上自动重启。当虚拟机的客户操作系统出现故障时，可以自动重启该虚拟机客户操作系统，保障业务连续性；</w:t>
            </w:r>
          </w:p>
          <w:p>
            <w:pPr>
              <w:ind w:firstLine="425"/>
              <w:jc w:val="both"/>
            </w:pPr>
            <w:r>
              <w:rPr>
                <w:sz w:val="24"/>
              </w:rPr>
              <w:t>b</w:t>
            </w:r>
            <w:r>
              <w:rPr>
                <w:sz w:val="24"/>
              </w:rPr>
              <w:t>.</w:t>
            </w:r>
            <w:r>
              <w:rPr>
                <w:sz w:val="24"/>
              </w:rPr>
              <w:t>系统应支持容错机制，可以保证运行虚拟机的主机发生故障时，虚拟机会自动触发透明故障切换，同时不会引起任何数据丢失或停机。支持不少于 1个虚拟 CPU的工作负载容错功能。</w:t>
            </w:r>
          </w:p>
          <w:p>
            <w:pPr>
              <w:ind w:firstLine="425"/>
              <w:jc w:val="both"/>
            </w:pPr>
            <w:r>
              <w:rPr>
                <w:sz w:val="24"/>
              </w:rPr>
              <w:t>2.2.</w:t>
            </w:r>
            <w:r>
              <w:rPr>
                <w:sz w:val="24"/>
              </w:rPr>
              <w:t>安全防护部署：</w:t>
            </w:r>
          </w:p>
          <w:p>
            <w:pPr>
              <w:ind w:firstLine="425"/>
              <w:jc w:val="both"/>
            </w:pPr>
            <w:r>
              <w:rPr>
                <w:sz w:val="24"/>
              </w:rPr>
              <w:t>a</w:t>
            </w:r>
            <w:r>
              <w:rPr>
                <w:sz w:val="24"/>
              </w:rPr>
              <w:t>.</w:t>
            </w:r>
            <w:r>
              <w:rPr>
                <w:sz w:val="24"/>
              </w:rPr>
              <w:t>提供一套安全防护软件在考试期间使用，实时监控并清除来自各种途径的病毒、木马、蠕虫、恶意软件、勒索软件、黑客工具等；</w:t>
            </w:r>
          </w:p>
          <w:p>
            <w:pPr>
              <w:ind w:firstLine="425"/>
              <w:jc w:val="both"/>
            </w:pPr>
            <w:r>
              <w:rPr>
                <w:sz w:val="24"/>
              </w:rPr>
              <w:t>b</w:t>
            </w:r>
            <w:r>
              <w:rPr>
                <w:sz w:val="24"/>
              </w:rPr>
              <w:t>.</w:t>
            </w:r>
            <w:r>
              <w:rPr>
                <w:sz w:val="24"/>
              </w:rPr>
              <w:t>安全防护软件自带数据库，安装后可以自行存储各类日志以及相关数据，同时也可以外接MSSQL数据库；</w:t>
            </w:r>
          </w:p>
          <w:p>
            <w:pPr>
              <w:ind w:firstLine="425"/>
              <w:jc w:val="both"/>
            </w:pPr>
            <w:r>
              <w:rPr>
                <w:sz w:val="24"/>
              </w:rPr>
              <w:t>c</w:t>
            </w:r>
            <w:r>
              <w:rPr>
                <w:sz w:val="24"/>
              </w:rPr>
              <w:t>.</w:t>
            </w:r>
            <w:r>
              <w:rPr>
                <w:sz w:val="24"/>
              </w:rPr>
              <w:t>安全防护软件具备病毒爆发防御功能。当最新病毒爆发时，可在病毒代码未完成之前自动对企业网络中的病毒传播端口、共享等进行关闭，切断病毒传播途径，预防最新病毒的攻击。</w:t>
            </w:r>
          </w:p>
          <w:p>
            <w:r>
              <w:rPr>
                <w:sz w:val="24"/>
              </w:rPr>
              <w:t>2.3.</w:t>
            </w:r>
            <w:r>
              <w:rPr>
                <w:sz w:val="24"/>
              </w:rPr>
              <w:t>安全备份部署：</w:t>
            </w:r>
          </w:p>
          <w:p>
            <w:pPr>
              <w:ind w:firstLine="425"/>
              <w:jc w:val="both"/>
            </w:pPr>
            <w:r>
              <w:rPr>
                <w:sz w:val="24"/>
              </w:rPr>
              <w:t>a</w:t>
            </w:r>
            <w:r>
              <w:rPr>
                <w:sz w:val="24"/>
              </w:rPr>
              <w:t>.</w:t>
            </w:r>
            <w:r>
              <w:rPr>
                <w:sz w:val="24"/>
              </w:rPr>
              <w:t>提供一套安全备份软件在考试期间使用，为整个考试的业务系统提供实时备份服务，故障备份软件能在5分钟内恢复业务且考试数据不能损失超过10分钟（即：软件支持增量备份</w:t>
            </w:r>
            <w:r>
              <w:rPr>
                <w:color w:val="000000"/>
                <w:sz w:val="24"/>
              </w:rPr>
              <w:t>10</w:t>
            </w:r>
            <w:r>
              <w:rPr>
                <w:sz w:val="24"/>
              </w:rPr>
              <w:t>分钟内做一次）；</w:t>
            </w:r>
          </w:p>
          <w:p>
            <w:pPr>
              <w:ind w:firstLine="425"/>
              <w:jc w:val="both"/>
            </w:pPr>
            <w:r>
              <w:rPr>
                <w:sz w:val="24"/>
              </w:rPr>
              <w:t>b</w:t>
            </w:r>
            <w:r>
              <w:rPr>
                <w:sz w:val="24"/>
              </w:rPr>
              <w:t>.</w:t>
            </w:r>
            <w:r>
              <w:rPr>
                <w:sz w:val="24"/>
              </w:rPr>
              <w:t>在所有虚拟、物理和云端工作负载中实现智能数据管理。借助单个管理控制台，快速、灵活和可靠地备份、恢复及复制所有应用程序和数据。</w:t>
            </w:r>
          </w:p>
        </w:tc>
      </w:tr>
      <w:tr>
        <w:tc>
          <w:tcPr>
            <w:tcW w:type="dxa" w:w="2076"/>
          </w:tcPr>
          <w:p>
            <w:r>
              <w:rPr/>
              <w:t>★</w:t>
            </w:r>
          </w:p>
        </w:tc>
        <w:tc>
          <w:tcPr>
            <w:tcW w:type="dxa" w:w="415"/>
          </w:tcPr>
          <w:p>
            <w:r>
              <w:rPr/>
              <w:t>4</w:t>
            </w:r>
          </w:p>
        </w:tc>
        <w:tc>
          <w:tcPr>
            <w:tcW w:type="dxa" w:w="5814"/>
          </w:tcPr>
          <w:p>
            <w:r>
              <w:rPr>
                <w:b/>
                <w:sz w:val="24"/>
              </w:rPr>
              <w:t>时间要求：</w:t>
            </w:r>
          </w:p>
          <w:p>
            <w:pPr>
              <w:ind w:firstLine="480"/>
              <w:jc w:val="both"/>
            </w:pPr>
            <w:r>
              <w:rPr>
                <w:sz w:val="24"/>
              </w:rPr>
              <w:t>由于考试工作的严谨性，成交供应商须严格按照相关时间要求完成工作。除不可抗力和采购人原因外，成交供应商必须按照采购人指定的时间将所有设备运至考点，并完成网络测试、设备调试、系统安装、考场布置等工作。此项要求将作为验收的重要参数，不能按要求完成工作的将不能通过验收。</w:t>
            </w:r>
          </w:p>
        </w:tc>
      </w:tr>
      <w:tr>
        <w:tc>
          <w:tcPr>
            <w:tcW w:type="dxa" w:w="2076"/>
          </w:tcPr>
          <w:p/>
        </w:tc>
        <w:tc>
          <w:tcPr>
            <w:tcW w:type="dxa" w:w="415"/>
          </w:tcPr>
          <w:p>
            <w:r>
              <w:rPr/>
              <w:t>5</w:t>
            </w:r>
          </w:p>
        </w:tc>
        <w:tc>
          <w:tcPr>
            <w:tcW w:type="dxa" w:w="5814"/>
          </w:tcPr>
          <w:p>
            <w:pPr>
              <w:numPr>
                <w:ilvl w:val="0"/>
                <w:numId w:val="1"/>
              </w:numPr>
              <w:jc w:val="both"/>
            </w:pPr>
            <w:r>
              <w:rPr>
                <w:b/>
                <w:sz w:val="24"/>
              </w:rPr>
              <w:t>其他要求</w:t>
            </w:r>
          </w:p>
          <w:p>
            <w:pPr>
              <w:numPr>
                <w:ilvl w:val="0"/>
                <w:numId w:val="1"/>
              </w:numPr>
              <w:jc w:val="both"/>
            </w:pPr>
          </w:p>
          <w:p>
            <w:pPr>
              <w:ind w:firstLine="480"/>
              <w:jc w:val="both"/>
            </w:pPr>
            <w:r>
              <w:rPr>
                <w:sz w:val="24"/>
              </w:rPr>
              <w:t>按照相关规定，成交供应商提供本次服务所需的服务器和存储设备等设备在考试结束后要存放到采购人指定地点，暂时不得取回。取回时间另行通知。</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1.采购代理机构：本项目是指广东计安招标采购有限公司佛山分公司，负责整个采购活动的组织，依法负责编制和发布磋商文件，对磋商文件拥有最终的解释权，不以任何身份出任磋商小组成员。</w:t>
      </w:r>
    </w:p>
    <w:p>
      <w:pPr>
        <w:ind w:firstLine="480"/>
      </w:pPr>
      <w:r>
        <w:rPr/>
        <w:t>2.采购人：本项目是指</w:t>
      </w:r>
      <w:r>
        <w:rPr/>
        <w:t>佛山市教育局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采购包1：单价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采购机构代理服务收费标准：本项目定额收费为27060.00元。</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广东计安招标采购有限公司佛山分公司</w:t>
      </w:r>
      <w:r>
        <w:rPr/>
        <w:t>代收。具体操作要求详见</w:t>
      </w:r>
      <w:r>
        <w:rPr/>
        <w:t>广东计安招标采购有限公司佛山分公司</w:t>
      </w:r>
      <w:r>
        <w:rPr/>
        <w:t>有关指引，递交事宜请自行咨询</w:t>
      </w:r>
      <w:r>
        <w:rPr/>
        <w:t>广东计安招标采购有限公司佛山分公司</w:t>
      </w:r>
      <w:r>
        <w:rPr/>
        <w:t>；请各供应商在响应文件递交截止时间前按须知前附表规定的金额递交至</w:t>
      </w:r>
      <w:r>
        <w:rPr/>
        <w:t>广东计安招标采购有限公司佛山分公司</w:t>
      </w:r>
      <w:r>
        <w:rPr/>
        <w:t>，到账情况以开启时</w:t>
      </w:r>
      <w:r>
        <w:rPr/>
        <w:t>广东计安招标采购有限公司佛山分公司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佛山市公共资源交易网：http://www.fsggzy.cn/， 广东计安招标采购有限公司：http://www.mzgpo.com/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佛山市公共资源交易网：http://www.fsggzy.cn/， 广东计安招标采购有限公司：http://www.mzgpo.com/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霍小姐、曾小姐</w:t>
      </w:r>
    </w:p>
    <w:p>
      <w:pPr>
        <w:ind w:firstLine="480"/>
      </w:pPr>
      <w:r>
        <w:rPr/>
        <w:t>电话：</w:t>
      </w:r>
      <w:r>
        <w:rPr/>
        <w:t>0757-82615983</w:t>
      </w:r>
    </w:p>
    <w:p>
      <w:pPr>
        <w:ind w:firstLine="480"/>
      </w:pPr>
      <w:r>
        <w:rPr/>
        <w:t>传真：</w:t>
      </w:r>
      <w:r>
        <w:rPr/>
        <w:t>/</w:t>
      </w:r>
    </w:p>
    <w:p>
      <w:pPr>
        <w:ind w:firstLine="480"/>
      </w:pPr>
      <w:r>
        <w:rPr/>
        <w:t>邮箱：</w:t>
      </w:r>
      <w:r>
        <w:rPr/>
        <w:t>1265583227@qq.com</w:t>
      </w:r>
    </w:p>
    <w:p>
      <w:pPr>
        <w:ind w:firstLine="480"/>
      </w:pPr>
      <w:r>
        <w:rPr/>
        <w:t>地址：</w:t>
      </w:r>
      <w:r>
        <w:rPr/>
        <w:t>佛山市禅城区魁奇路澜石金属交易中心9座2楼25-27号</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全国统一中小学教师资格考试佛山考区面试考点保障服务（2023年）)：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广东计安招标采购有限公司佛山分公司</w:t>
      </w:r>
      <w:r>
        <w:rPr/>
        <w:t>统一对外发布。</w:t>
      </w:r>
    </w:p>
    <w:p>
      <w:pPr>
        <w:ind w:firstLine="480"/>
      </w:pPr>
      <w:r>
        <w:rPr/>
        <w:t>（2）对</w:t>
      </w:r>
      <w:r>
        <w:rPr/>
        <w:t>广东计安招标采购有限公司佛山分公司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采购包1（全国统一中小学教师资格考试佛山考区面试考点保障服务（2023年））：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采购包1（全国统一中小学教师资格考试佛山考区面试考点保障服务（2023年））：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参与的供应商（联合体）服务全部由符合政策要求的中小企业承接。本项目所属行业为：软件和信息技术服务业。</w:t>
            </w:r>
          </w:p>
        </w:tc>
      </w:tr>
    </w:tbl>
    <w:p/>
    <w:p>
      <w:pPr>
        <w:ind w:firstLine="480"/>
      </w:pPr>
      <w:r>
        <w:rPr/>
        <w:t>表二符合性审查表：</w:t>
      </w:r>
    </w:p>
    <w:p>
      <w:pPr>
        <w:ind w:firstLine="480"/>
      </w:pPr>
    </w:p>
    <w:p/>
    <w:p>
      <w:r>
        <w:rPr/>
        <w:t>采购包1（全国统一中小学教师资格考试佛山考区面试考点保障服务（2023年））：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响应文件有效性</w:t>
            </w:r>
          </w:p>
        </w:tc>
        <w:tc>
          <w:tcPr>
            <w:tcW w:type="dxa" w:w="4238"/>
          </w:tcPr>
          <w:p>
            <w:r>
              <w:rPr/>
              <w:t>磋商文件规定签字、盖章的地方须签字、盖章。</w:t>
            </w:r>
          </w:p>
        </w:tc>
      </w:tr>
      <w:tr>
        <w:tc>
          <w:tcPr>
            <w:tcW w:type="dxa" w:w="890"/>
          </w:tcPr>
          <w:p>
            <w:r>
              <w:rPr/>
              <w:t>2</w:t>
            </w:r>
          </w:p>
        </w:tc>
        <w:tc>
          <w:tcPr>
            <w:tcW w:type="dxa" w:w="3178"/>
          </w:tcPr>
          <w:p>
            <w:r>
              <w:rPr/>
              <w:t>商务要求</w:t>
            </w:r>
          </w:p>
        </w:tc>
        <w:tc>
          <w:tcPr>
            <w:tcW w:type="dxa" w:w="4238"/>
          </w:tcPr>
          <w:p>
            <w:r>
              <w:rPr/>
              <w:t>实质性响应磋商文件中的商务要求。</w:t>
            </w:r>
          </w:p>
        </w:tc>
      </w:tr>
      <w:tr>
        <w:tc>
          <w:tcPr>
            <w:tcW w:type="dxa" w:w="890"/>
          </w:tcPr>
          <w:p>
            <w:r>
              <w:rPr/>
              <w:t>3</w:t>
            </w:r>
          </w:p>
        </w:tc>
        <w:tc>
          <w:tcPr>
            <w:tcW w:type="dxa" w:w="3178"/>
          </w:tcPr>
          <w:p>
            <w:r>
              <w:rPr/>
              <w:t>技术要求</w:t>
            </w:r>
          </w:p>
        </w:tc>
        <w:tc>
          <w:tcPr>
            <w:tcW w:type="dxa" w:w="4238"/>
          </w:tcPr>
          <w:p>
            <w:r>
              <w:rPr/>
              <w:t>实质性响应磋商文件中的技术要求。</w:t>
            </w:r>
          </w:p>
        </w:tc>
      </w:tr>
      <w:tr>
        <w:tc>
          <w:tcPr>
            <w:tcW w:type="dxa" w:w="890"/>
          </w:tcPr>
          <w:p>
            <w:r>
              <w:rPr/>
              <w:t>4</w:t>
            </w:r>
          </w:p>
        </w:tc>
        <w:tc>
          <w:tcPr>
            <w:tcW w:type="dxa" w:w="3178"/>
          </w:tcPr>
          <w:p>
            <w:r>
              <w:rPr/>
              <w:t>合同响应</w:t>
            </w:r>
          </w:p>
        </w:tc>
        <w:tc>
          <w:tcPr>
            <w:tcW w:type="dxa" w:w="4238"/>
          </w:tcPr>
          <w:p>
            <w:r>
              <w:rPr/>
              <w:t>实质性响应磋商文件中的合同要求。</w:t>
            </w:r>
          </w:p>
        </w:tc>
      </w:tr>
      <w:tr>
        <w:tc>
          <w:tcPr>
            <w:tcW w:type="dxa" w:w="890"/>
          </w:tcPr>
          <w:p>
            <w:r>
              <w:rPr/>
              <w:t>5</w:t>
            </w:r>
          </w:p>
        </w:tc>
        <w:tc>
          <w:tcPr>
            <w:tcW w:type="dxa" w:w="3178"/>
          </w:tcPr>
          <w:p>
            <w:r>
              <w:rPr/>
              <w:t>磋商报价要求</w:t>
            </w:r>
          </w:p>
        </w:tc>
        <w:tc>
          <w:tcPr>
            <w:tcW w:type="dxa" w:w="4238"/>
          </w:tcPr>
          <w:p>
            <w:r>
              <w:rPr/>
              <w:t>磋商报价方案是唯一的，符合磋商文件的其他磋商报价相关要求。</w:t>
            </w:r>
          </w:p>
        </w:tc>
      </w:tr>
      <w:tr>
        <w:tc>
          <w:tcPr>
            <w:tcW w:type="dxa" w:w="890"/>
          </w:tcPr>
          <w:p>
            <w:r>
              <w:rPr/>
              <w:t>6</w:t>
            </w:r>
          </w:p>
        </w:tc>
        <w:tc>
          <w:tcPr>
            <w:tcW w:type="dxa" w:w="3178"/>
          </w:tcPr>
          <w:p>
            <w:r>
              <w:rPr/>
              <w:t>不可负偏离的重要项响应</w:t>
            </w:r>
          </w:p>
        </w:tc>
        <w:tc>
          <w:tcPr>
            <w:tcW w:type="dxa" w:w="4238"/>
          </w:tcPr>
          <w:p>
            <w:r>
              <w:rPr/>
              <w:t>实质性响应磋商文件中的不可负偏离的重要项（带“★”项）要求；磋商文件未含有采购人不能接受的附加条款。</w:t>
            </w:r>
          </w:p>
        </w:tc>
      </w:tr>
      <w:tr>
        <w:tc>
          <w:tcPr>
            <w:tcW w:type="dxa" w:w="890"/>
          </w:tcPr>
          <w:p>
            <w:r>
              <w:rPr/>
              <w:t>7</w:t>
            </w:r>
          </w:p>
        </w:tc>
        <w:tc>
          <w:tcPr>
            <w:tcW w:type="dxa" w:w="3178"/>
          </w:tcPr>
          <w:p>
            <w:r>
              <w:rPr/>
              <w:t>其他</w:t>
            </w:r>
          </w:p>
        </w:tc>
        <w:tc>
          <w:tcPr>
            <w:tcW w:type="dxa" w:w="4238"/>
          </w:tcPr>
          <w:p>
            <w:r>
              <w:rPr/>
              <w:t>未发现法律、法规和磋商文件规定的其他无效情形。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采购包1全国统一中小学教师资格考试佛山考区面试考点保障服务（2023年）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项目经理 (10.0分)</w:t>
            </w:r>
          </w:p>
        </w:tc>
        <w:tc>
          <w:tcPr>
            <w:tcW w:type="dxa" w:w="5076"/>
          </w:tcPr>
          <w:p>
            <w:pPr>
              <w:jc w:val="left"/>
            </w:pPr>
            <w:r>
              <w:rPr/>
              <w:t>投入本项目的项目经理具有以下证书： 1．项目经理证书； 2．注册信息安全专业人员（CISP）； 3．涉密计算机定点维修维护岗位证； 4．云计算工程师认证证书或ICT网络工程师证书； 5．广东省安防从业人员继续教育培训合格证。 每提供1个证书得2分，本项最高10分。 注：须同时提供人员证书复印件及近半年任意一个月在本单位缴纳的社保证明资料复印件作为证明材料。</w:t>
            </w:r>
          </w:p>
        </w:tc>
      </w:tr>
      <w:tr>
        <w:tc>
          <w:tcPr>
            <w:tcW w:type="dxa" w:w="922"/>
            <w:gridSpan w:val="2"/>
            <w:vMerge/>
          </w:tcPr>
          <w:p/>
        </w:tc>
        <w:tc>
          <w:tcPr>
            <w:tcW w:type="dxa" w:w="2307"/>
          </w:tcPr>
          <w:p>
            <w:pPr>
              <w:jc w:val="left"/>
            </w:pPr>
            <w:r>
              <w:rPr/>
              <w:t>技术总监 (6.0分)</w:t>
            </w:r>
          </w:p>
        </w:tc>
        <w:tc>
          <w:tcPr>
            <w:tcW w:type="dxa" w:w="5076"/>
          </w:tcPr>
          <w:p>
            <w:pPr>
              <w:jc w:val="left"/>
            </w:pPr>
            <w:r>
              <w:rPr/>
              <w:t>投入本项目的技术总监具有以下证书： 1．人力资源和社会保障部门颁发的网络规划设计师证书； 2．人力资源和社会保障部门颁发的网络工程师证书； 3．涉密计算机定点维修维护岗位证。 每提供1个证书得2分，本项最高6分。 注：须同时提供人员证书扫描件及近三个月在本单位缴纳的社保证明资料扫描件作为证明材料。</w:t>
            </w:r>
          </w:p>
        </w:tc>
      </w:tr>
      <w:tr>
        <w:tc>
          <w:tcPr>
            <w:tcW w:type="dxa" w:w="922"/>
            <w:gridSpan w:val="2"/>
            <w:vMerge/>
          </w:tcPr>
          <w:p/>
        </w:tc>
        <w:tc>
          <w:tcPr>
            <w:tcW w:type="dxa" w:w="2307"/>
          </w:tcPr>
          <w:p>
            <w:pPr>
              <w:jc w:val="left"/>
            </w:pPr>
            <w:r>
              <w:rPr/>
              <w:t>投入本项目的人员 (24.0分)</w:t>
            </w:r>
          </w:p>
        </w:tc>
        <w:tc>
          <w:tcPr>
            <w:tcW w:type="dxa" w:w="5076"/>
          </w:tcPr>
          <w:p>
            <w:pPr>
              <w:jc w:val="left"/>
            </w:pPr>
            <w:r>
              <w:rPr/>
              <w:t>对投标人拟投入本项目人员（不含项目经理和技术总监）进行评价： 1、具备人力资源和社会保障部门颁发的中级或以上的网络工程师，得2分/人，最高2分； 2、具备人力资源和社会保障部门颁发的中级或以上的系统集成项目管理工程师证书，得2分/人，最高2分； 3、具有广东省安防从业人员继续教育培训合格证，得1分/人，本项最高3分； 4、具有涉密计算机定点维修维护岗位证得1分/人，最高7分； 5、具有云计算工程师认证证书，得分2/人，最高2分； 6、具有注册信息安全专业人员（CISP），得2分/人，本项最高2分； 7、具有《信息安全保障人员认证证书》，且认证方向为安全集成（专业级），得2分/人，本项最高4分 8、具有中级或以上变配电室值班电工，得2分/人，本项最高2分。 注：一人持多种证书可重复计算，须同时提供人员证书复印件及近三个月在本单位缴纳的社保证明资料复印件作为证明材料。</w:t>
            </w:r>
          </w:p>
        </w:tc>
      </w:tr>
      <w:tr>
        <w:tc>
          <w:tcPr>
            <w:tcW w:type="dxa" w:w="922"/>
            <w:gridSpan w:val="2"/>
            <w:vMerge/>
          </w:tcPr>
          <w:p/>
        </w:tc>
        <w:tc>
          <w:tcPr>
            <w:tcW w:type="dxa" w:w="2307"/>
          </w:tcPr>
          <w:p>
            <w:pPr>
              <w:jc w:val="left"/>
            </w:pPr>
            <w:r>
              <w:rPr/>
              <w:t>技术方案可行性 (5.0分)</w:t>
            </w:r>
            <w:r>
              <w:rPr/>
              <w:t>，（等次分值选择：</w:t>
            </w:r>
            <w:r>
              <w:rPr/>
              <w:t>0.0;</w:t>
            </w:r>
            <w:r>
              <w:rPr/>
              <w:t>1.0;</w:t>
            </w:r>
            <w:r>
              <w:rPr/>
              <w:t>3.0;</w:t>
            </w:r>
            <w:r>
              <w:rPr/>
              <w:t>5.0;</w:t>
            </w:r>
            <w:r>
              <w:rPr/>
              <w:t>）</w:t>
            </w:r>
          </w:p>
        </w:tc>
        <w:tc>
          <w:tcPr>
            <w:tcW w:type="dxa" w:w="5076"/>
          </w:tcPr>
          <w:p>
            <w:pPr>
              <w:jc w:val="left"/>
            </w:pPr>
            <w:r>
              <w:rPr/>
              <w:t>对供应商提供的技术方案进行评分。 优：提供的技术方案（包括：设备配置符合科学合理、安全可靠，可维护性和适应性强及采用核心技术水平先进）详细、全面的，且可行性强的得5分； 良：提供的技术方案（包括：设备配置符合科学较合理、安全可靠，可维护性和适应性较强及采用核心技术水平较先进）较详细、较全面的，且可行性较强的得3分； 中：提供的技术方案差、不全面的，可行性差的得1分。 差：不提供方案的得0分。</w:t>
            </w:r>
          </w:p>
        </w:tc>
      </w:tr>
      <w:tr>
        <w:tc>
          <w:tcPr>
            <w:tcW w:type="dxa" w:w="922"/>
            <w:gridSpan w:val="2"/>
            <w:vMerge/>
          </w:tcPr>
          <w:p/>
        </w:tc>
        <w:tc>
          <w:tcPr>
            <w:tcW w:type="dxa" w:w="2307"/>
          </w:tcPr>
          <w:p>
            <w:pPr>
              <w:jc w:val="left"/>
            </w:pPr>
            <w:r>
              <w:rPr/>
              <w:t>管理及实施方案 (5.0分)</w:t>
            </w:r>
            <w:r>
              <w:rPr/>
              <w:t>，（等次分值选择：</w:t>
            </w:r>
            <w:r>
              <w:rPr/>
              <w:t>0.0;</w:t>
            </w:r>
            <w:r>
              <w:rPr/>
              <w:t>1.0;</w:t>
            </w:r>
            <w:r>
              <w:rPr/>
              <w:t>3.0;</w:t>
            </w:r>
            <w:r>
              <w:rPr/>
              <w:t>5.0;</w:t>
            </w:r>
            <w:r>
              <w:rPr/>
              <w:t>）</w:t>
            </w:r>
          </w:p>
        </w:tc>
        <w:tc>
          <w:tcPr>
            <w:tcW w:type="dxa" w:w="5076"/>
          </w:tcPr>
          <w:p>
            <w:pPr>
              <w:jc w:val="left"/>
            </w:pPr>
            <w:r>
              <w:rPr/>
              <w:t>对供应商提供的管理及实施方案进行评分。 优：提供的管理及实施方案（包括：项目管理、实施与质量保障方案，科学合理、详实可行、符合用户实际情况）详细、全面的，且可行性强的得5分； 良：提供的管理及实施方案（包括：项目管理、实施与质量保障方案，科学合理、详实可行、符合用户实际情况）较详细、较全面的，且可行性较强的得3分； 中：提供的管理及实施方案差，可行性差的得1分。 差：不提供方案的得0分。</w:t>
            </w:r>
          </w:p>
        </w:tc>
      </w:tr>
      <w:tr>
        <w:tc>
          <w:tcPr>
            <w:tcW w:type="dxa" w:w="922"/>
            <w:gridSpan w:val="2"/>
            <w:vMerge/>
          </w:tcPr>
          <w:p/>
        </w:tc>
        <w:tc>
          <w:tcPr>
            <w:tcW w:type="dxa" w:w="2307"/>
          </w:tcPr>
          <w:p>
            <w:pPr>
              <w:jc w:val="left"/>
            </w:pPr>
            <w:r>
              <w:rPr/>
              <w:t>技术风险分析与合理化建议方案 (5.0分)</w:t>
            </w:r>
            <w:r>
              <w:rPr/>
              <w:t>，（等次分值选择：</w:t>
            </w:r>
            <w:r>
              <w:rPr/>
              <w:t>0.0;</w:t>
            </w:r>
            <w:r>
              <w:rPr/>
              <w:t>1.0;</w:t>
            </w:r>
            <w:r>
              <w:rPr/>
              <w:t>3.0;</w:t>
            </w:r>
            <w:r>
              <w:rPr/>
              <w:t>5.0;</w:t>
            </w:r>
            <w:r>
              <w:rPr/>
              <w:t>）</w:t>
            </w:r>
          </w:p>
        </w:tc>
        <w:tc>
          <w:tcPr>
            <w:tcW w:type="dxa" w:w="5076"/>
          </w:tcPr>
          <w:p>
            <w:pPr>
              <w:jc w:val="left"/>
            </w:pPr>
            <w:r>
              <w:rPr/>
              <w:t>对供应商提供的技术风险分析与合理化建议方案进行评分。 优：技术风险分析与合理化建议方案（包括：技术风险、产品缺陷等进行分析）详细、全面的得5分；  良：技术风险分析与合理化建议方案（包括：技术风险、产品缺陷等进行分析）较详细、较全面的得3分； 中：技术风险分析与合理化建议方案差，且不全面的得1分。 差：不提供方案的得0分。</w:t>
            </w:r>
          </w:p>
        </w:tc>
      </w:tr>
      <w:tr>
        <w:tc>
          <w:tcPr>
            <w:tcW w:type="dxa" w:w="922"/>
            <w:gridSpan w:val="2"/>
            <w:vMerge w:val="restart"/>
          </w:tcPr>
          <w:p>
            <w:pPr>
              <w:jc w:val="center"/>
            </w:pPr>
            <w:r>
              <w:rPr/>
              <w:t>商务部分</w:t>
            </w:r>
          </w:p>
        </w:tc>
        <w:tc>
          <w:tcPr>
            <w:tcW w:type="dxa" w:w="2307"/>
          </w:tcPr>
          <w:p>
            <w:pPr>
              <w:jc w:val="left"/>
            </w:pPr>
            <w:r>
              <w:rPr/>
              <w:t>服务保障及便利性 (8.0分)</w:t>
            </w:r>
            <w:r>
              <w:rPr/>
              <w:t>，（等次分值选择：</w:t>
            </w:r>
            <w:r>
              <w:rPr/>
              <w:t>0.0;</w:t>
            </w:r>
            <w:r>
              <w:rPr/>
              <w:t>2.0;</w:t>
            </w:r>
            <w:r>
              <w:rPr/>
              <w:t>5.0;</w:t>
            </w:r>
            <w:r>
              <w:rPr/>
              <w:t>8.0;</w:t>
            </w:r>
            <w:r>
              <w:rPr/>
              <w:t>）</w:t>
            </w:r>
          </w:p>
        </w:tc>
        <w:tc>
          <w:tcPr>
            <w:tcW w:type="dxa" w:w="5076"/>
          </w:tcPr>
          <w:p>
            <w:pPr>
              <w:jc w:val="left"/>
            </w:pPr>
            <w:r>
              <w:rPr/>
              <w:t>投标人承诺接到采购人通知后30分钟以内到达采购人指定地点的得8分；投标人承诺接到采购人通知后1小时内到达采购人指定地点的得5分；投标人承诺接到采购人通知后2小时内到达采购人指定地点的得2分；其它或不提供不得分。 注：投标人须提供承诺证明材料盖投标人公章。</w:t>
            </w:r>
          </w:p>
        </w:tc>
      </w:tr>
      <w:tr>
        <w:tc>
          <w:tcPr>
            <w:tcW w:type="dxa" w:w="922"/>
            <w:gridSpan w:val="2"/>
            <w:vMerge/>
          </w:tcPr>
          <w:p/>
        </w:tc>
        <w:tc>
          <w:tcPr>
            <w:tcW w:type="dxa" w:w="2307"/>
          </w:tcPr>
          <w:p>
            <w:pPr>
              <w:jc w:val="left"/>
            </w:pPr>
            <w:r>
              <w:rPr/>
              <w:t>同类项目业绩 (14.0分)</w:t>
            </w:r>
          </w:p>
        </w:tc>
        <w:tc>
          <w:tcPr>
            <w:tcW w:type="dxa" w:w="5076"/>
          </w:tcPr>
          <w:p>
            <w:pPr>
              <w:jc w:val="left"/>
            </w:pPr>
            <w:r>
              <w:rPr/>
              <w:t>1.自2019年1月1日至今（按签订合同之日算），以投标人名义独立完成的同类项目业绩的，每提供一份教师资格考试服务类的同类项目业绩得2分，最高10分。 2. 自2019年1月1日年至今（按签订合同之日算），以投标人名义独立完成的同类项目业绩的，每提供一份的机房运维同类项目业绩得1分，最高4分。 注：以上业绩按合同签订时间为准，须提供合同关键页复印件（包含但不限于合同首页、合同金额页、合同签字页，合同清单。</w:t>
            </w:r>
          </w:p>
        </w:tc>
      </w:tr>
      <w:tr>
        <w:tc>
          <w:tcPr>
            <w:tcW w:type="dxa" w:w="922"/>
            <w:gridSpan w:val="2"/>
            <w:vMerge/>
          </w:tcPr>
          <w:p/>
        </w:tc>
        <w:tc>
          <w:tcPr>
            <w:tcW w:type="dxa" w:w="2307"/>
          </w:tcPr>
          <w:p>
            <w:pPr>
              <w:jc w:val="left"/>
            </w:pPr>
            <w:r>
              <w:rPr/>
              <w:t>投标人企业资质 (13.0分)</w:t>
            </w:r>
          </w:p>
        </w:tc>
        <w:tc>
          <w:tcPr>
            <w:tcW w:type="dxa" w:w="5076"/>
          </w:tcPr>
          <w:p>
            <w:pPr>
              <w:jc w:val="left"/>
            </w:pPr>
            <w:r>
              <w:rPr/>
              <w:t>投标人具有： 1．有效的质量管理体系认证证书，得1分； 2．有效的环境管理体系认证证书，得1分； 3．有效的职业健康安全管理体系认证证书，得1分； 4．有效的知识产权管理体系认证证书，得1分；  5．有效的两化融合管理体系证书，得4分； 6．具有市级以上国家保密局颁发的《广东省涉密计算机、通信和办公自动化设备定点维修维护证书》资格，得5分； 注：须提供证书扫描件。1-5项证书有效性以采购代理机构于开标当日登录认证认可信息平台网站查询结果为准；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t xml:space="preserve"> </w:t>
      </w:r>
    </w:p>
    <w:p>
      <w:pPr>
        <w:jc w:val="both"/>
      </w:pPr>
      <w:r>
        <w:rPr>
          <w:b/>
        </w:rPr>
        <w:t>一、合同金额</w:t>
      </w:r>
    </w:p>
    <w:p>
      <w:pPr>
        <w:jc w:val="both"/>
      </w:pPr>
      <w:r>
        <w:rPr/>
        <w:t xml:space="preserve"> </w:t>
      </w:r>
      <w:r>
        <w:rPr>
          <w:color w:val="222222"/>
          <w:sz w:val="27"/>
        </w:rPr>
        <w:t xml:space="preserve">   单个考点单价为</w:t>
      </w:r>
      <w:r>
        <w:rPr>
          <w:color w:val="222222"/>
          <w:sz w:val="27"/>
        </w:rPr>
        <w:t>（大写）：_____________元（￥_________元）人民币。</w:t>
      </w:r>
    </w:p>
    <w:p>
      <w:pPr>
        <w:jc w:val="both"/>
      </w:pPr>
      <w:r>
        <w:rPr/>
        <w:t xml:space="preserve"> </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 xml:space="preserve">    ……</w:t>
      </w:r>
    </w:p>
    <w:p>
      <w:pPr>
        <w:jc w:val="both"/>
      </w:pPr>
      <w:r>
        <w:rPr/>
        <w:t xml:space="preserve"> </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t xml:space="preserve"> </w:t>
      </w:r>
    </w:p>
    <w:p>
      <w:pPr>
        <w:jc w:val="both"/>
      </w:pPr>
      <w:r>
        <w:rPr>
          <w:b/>
        </w:rPr>
        <w:t>四、服务期间（项目完成期限）</w:t>
      </w:r>
    </w:p>
    <w:p>
      <w:pPr>
        <w:jc w:val="both"/>
      </w:pPr>
      <w:r>
        <w:rPr>
          <w:color w:val="222222"/>
          <w:sz w:val="27"/>
        </w:rPr>
        <w:t>　　1.合同签订生效之日起至完成2023年共2次面试的服务止。</w:t>
      </w:r>
    </w:p>
    <w:p>
      <w:pPr>
        <w:jc w:val="both"/>
      </w:pPr>
      <w:r>
        <w:rPr/>
        <w:t xml:space="preserve"> </w:t>
      </w:r>
    </w:p>
    <w:p>
      <w:pPr>
        <w:jc w:val="both"/>
      </w:pPr>
      <w:r>
        <w:rPr>
          <w:b/>
        </w:rPr>
        <w:t>五、付款方式</w:t>
      </w:r>
    </w:p>
    <w:p>
      <w:pPr>
        <w:jc w:val="both"/>
      </w:pPr>
      <w:r>
        <w:rPr>
          <w:color w:val="222222"/>
          <w:sz w:val="27"/>
        </w:rPr>
        <w:t xml:space="preserve">　  </w:t>
      </w:r>
      <w:r>
        <w:rPr>
          <w:color w:val="222222"/>
          <w:sz w:val="27"/>
        </w:rPr>
        <w:t>1.每次面试结束后，经验收合格，支付实际启用考点数×合同单价的款项。注：结算总金额必须小于或等于项目预算金额。</w:t>
      </w:r>
    </w:p>
    <w:p>
      <w:pPr>
        <w:jc w:val="both"/>
      </w:pPr>
      <w:r>
        <w:rPr/>
        <w:t xml:space="preserve"> </w:t>
      </w:r>
    </w:p>
    <w:p>
      <w:pPr>
        <w:jc w:val="both"/>
      </w:pPr>
      <w:r>
        <w:rPr>
          <w:b/>
        </w:rPr>
        <w:t>六、知识产权归属</w:t>
      </w:r>
    </w:p>
    <w:p>
      <w:pPr>
        <w:jc w:val="both"/>
      </w:pPr>
      <w:r>
        <w:rPr>
          <w:color w:val="222222"/>
          <w:sz w:val="27"/>
        </w:rPr>
        <w:t>1.本项目所形成的数据和报告知识产权归</w:t>
      </w:r>
      <w:r>
        <w:rPr>
          <w:color w:val="222222"/>
          <w:sz w:val="27"/>
        </w:rPr>
        <w:t>甲方</w:t>
      </w:r>
      <w:r>
        <w:rPr>
          <w:color w:val="222222"/>
          <w:sz w:val="27"/>
        </w:rPr>
        <w:t>所有。未经</w:t>
      </w:r>
      <w:r>
        <w:rPr>
          <w:color w:val="222222"/>
          <w:sz w:val="27"/>
        </w:rPr>
        <w:t>甲方</w:t>
      </w:r>
      <w:r>
        <w:rPr>
          <w:color w:val="222222"/>
          <w:sz w:val="27"/>
        </w:rPr>
        <w:t>书面同意，</w:t>
      </w:r>
      <w:r>
        <w:rPr>
          <w:color w:val="222222"/>
          <w:sz w:val="27"/>
        </w:rPr>
        <w:t>乙方</w:t>
      </w:r>
      <w:r>
        <w:rPr>
          <w:color w:val="222222"/>
          <w:sz w:val="27"/>
        </w:rPr>
        <w:t>不得使用。</w:t>
      </w:r>
    </w:p>
    <w:p>
      <w:pPr>
        <w:jc w:val="both"/>
      </w:pPr>
      <w:r>
        <w:rPr>
          <w:color w:val="222222"/>
          <w:sz w:val="27"/>
        </w:rPr>
        <w:t>2.</w:t>
      </w:r>
      <w:r>
        <w:rPr>
          <w:color w:val="222222"/>
          <w:sz w:val="27"/>
        </w:rPr>
        <w:t>乙方</w:t>
      </w:r>
      <w:r>
        <w:rPr>
          <w:color w:val="222222"/>
          <w:sz w:val="27"/>
        </w:rPr>
        <w:t>须保证提供给</w:t>
      </w:r>
      <w:r>
        <w:rPr>
          <w:color w:val="222222"/>
          <w:sz w:val="27"/>
        </w:rPr>
        <w:t>甲方</w:t>
      </w:r>
      <w:r>
        <w:rPr>
          <w:color w:val="222222"/>
          <w:sz w:val="27"/>
        </w:rPr>
        <w:t>的所有资料和项目成果均符合所有可适用的法律、法规、规范性文件的要求；保证提供给</w:t>
      </w:r>
      <w:r>
        <w:rPr>
          <w:color w:val="222222"/>
          <w:sz w:val="27"/>
        </w:rPr>
        <w:t>甲方</w:t>
      </w:r>
      <w:r>
        <w:rPr>
          <w:color w:val="222222"/>
          <w:sz w:val="27"/>
        </w:rPr>
        <w:t>的所有资料、项目成果系统均为乙方合法所有或经合法授权；保证</w:t>
      </w:r>
      <w:r>
        <w:rPr>
          <w:color w:val="222222"/>
          <w:sz w:val="27"/>
        </w:rPr>
        <w:t>甲方</w:t>
      </w:r>
      <w:r>
        <w:rPr>
          <w:color w:val="222222"/>
          <w:sz w:val="27"/>
        </w:rPr>
        <w:t>使用上述资料、项目成果系统的行为不会侵犯任何第三人的合法权益。如果发生第三人主张</w:t>
      </w:r>
      <w:r>
        <w:rPr>
          <w:color w:val="222222"/>
          <w:sz w:val="27"/>
        </w:rPr>
        <w:t>甲方</w:t>
      </w:r>
      <w:r>
        <w:rPr>
          <w:color w:val="222222"/>
          <w:sz w:val="27"/>
        </w:rPr>
        <w:t>因使用上述资料、项目成果系统构成侵权的，</w:t>
      </w:r>
      <w:r>
        <w:rPr>
          <w:color w:val="222222"/>
          <w:sz w:val="27"/>
        </w:rPr>
        <w:t>乙方</w:t>
      </w:r>
      <w:r>
        <w:rPr>
          <w:color w:val="222222"/>
          <w:sz w:val="27"/>
        </w:rPr>
        <w:t>应当承担相应的法律责任，由此给</w:t>
      </w:r>
      <w:r>
        <w:rPr>
          <w:color w:val="222222"/>
          <w:sz w:val="27"/>
        </w:rPr>
        <w:t>甲方</w:t>
      </w:r>
      <w:r>
        <w:rPr>
          <w:color w:val="222222"/>
          <w:sz w:val="27"/>
        </w:rPr>
        <w:t>造成损失的，由</w:t>
      </w:r>
      <w:r>
        <w:rPr>
          <w:color w:val="222222"/>
          <w:sz w:val="27"/>
        </w:rPr>
        <w:t>乙方</w:t>
      </w:r>
      <w:r>
        <w:rPr>
          <w:color w:val="222222"/>
          <w:sz w:val="27"/>
        </w:rPr>
        <w:t>全额赔偿；因此而造成</w:t>
      </w:r>
      <w:r>
        <w:rPr>
          <w:color w:val="222222"/>
          <w:sz w:val="27"/>
        </w:rPr>
        <w:t>甲方</w:t>
      </w:r>
      <w:r>
        <w:rPr>
          <w:color w:val="222222"/>
          <w:sz w:val="27"/>
        </w:rPr>
        <w:t>承担赔偿等责任的，</w:t>
      </w:r>
      <w:r>
        <w:rPr>
          <w:color w:val="222222"/>
          <w:sz w:val="27"/>
        </w:rPr>
        <w:t>甲方</w:t>
      </w:r>
      <w:r>
        <w:rPr>
          <w:color w:val="222222"/>
          <w:sz w:val="27"/>
        </w:rPr>
        <w:t>有权向</w:t>
      </w:r>
      <w:r>
        <w:rPr>
          <w:color w:val="222222"/>
          <w:sz w:val="27"/>
        </w:rPr>
        <w:t>乙方</w:t>
      </w:r>
      <w:r>
        <w:rPr>
          <w:color w:val="222222"/>
          <w:sz w:val="27"/>
        </w:rPr>
        <w:t>追偿。</w:t>
      </w:r>
    </w:p>
    <w:p>
      <w:pPr>
        <w:jc w:val="both"/>
      </w:pPr>
      <w:r>
        <w:rPr/>
        <w:t xml:space="preserve"> </w:t>
      </w:r>
    </w:p>
    <w:p>
      <w:pPr>
        <w:jc w:val="both"/>
      </w:pPr>
      <w:r>
        <w:rPr>
          <w:b/>
        </w:rPr>
        <w:t>七、保密要求</w:t>
      </w:r>
    </w:p>
    <w:p>
      <w:pPr>
        <w:jc w:val="both"/>
      </w:pPr>
      <w:r>
        <w:rPr>
          <w:color w:val="222222"/>
          <w:sz w:val="27"/>
        </w:rPr>
        <w:t>乙方</w:t>
      </w:r>
      <w:r>
        <w:rPr>
          <w:color w:val="222222"/>
          <w:sz w:val="27"/>
        </w:rPr>
        <w:t>在项目实施过程中，对</w:t>
      </w:r>
      <w:r>
        <w:rPr>
          <w:color w:val="222222"/>
          <w:sz w:val="27"/>
        </w:rPr>
        <w:t>甲方</w:t>
      </w:r>
      <w:r>
        <w:rPr>
          <w:color w:val="222222"/>
          <w:sz w:val="27"/>
        </w:rPr>
        <w:t>所提供的所有相关资料、数据须保密，未经</w:t>
      </w:r>
      <w:r>
        <w:rPr>
          <w:color w:val="222222"/>
          <w:sz w:val="27"/>
        </w:rPr>
        <w:t>甲方</w:t>
      </w:r>
      <w:r>
        <w:rPr>
          <w:color w:val="222222"/>
          <w:sz w:val="27"/>
        </w:rPr>
        <w:t>书面同意不得向任何第三人泄露，且保密责任不因合同的终止或解除而失效。如</w:t>
      </w:r>
      <w:r>
        <w:rPr>
          <w:color w:val="222222"/>
          <w:sz w:val="27"/>
        </w:rPr>
        <w:t>甲方</w:t>
      </w:r>
      <w:r>
        <w:rPr>
          <w:color w:val="222222"/>
          <w:sz w:val="27"/>
        </w:rPr>
        <w:t>提出要求，</w:t>
      </w:r>
      <w:r>
        <w:rPr>
          <w:color w:val="222222"/>
          <w:sz w:val="27"/>
        </w:rPr>
        <w:t>乙方</w:t>
      </w:r>
      <w:r>
        <w:rPr>
          <w:color w:val="222222"/>
          <w:sz w:val="27"/>
        </w:rPr>
        <w:t>须无条件与</w:t>
      </w:r>
      <w:r>
        <w:rPr>
          <w:color w:val="222222"/>
          <w:sz w:val="27"/>
        </w:rPr>
        <w:t>甲方</w:t>
      </w:r>
      <w:r>
        <w:rPr>
          <w:color w:val="222222"/>
          <w:sz w:val="27"/>
        </w:rPr>
        <w:t>签定保密协议。项目完成后，</w:t>
      </w:r>
      <w:r>
        <w:rPr>
          <w:color w:val="222222"/>
          <w:sz w:val="27"/>
        </w:rPr>
        <w:t>乙方</w:t>
      </w:r>
      <w:r>
        <w:rPr>
          <w:color w:val="222222"/>
          <w:sz w:val="27"/>
        </w:rPr>
        <w:t>须把采购人提供的所有资料、数据完整归还</w:t>
      </w:r>
      <w:r>
        <w:rPr>
          <w:color w:val="222222"/>
          <w:sz w:val="27"/>
        </w:rPr>
        <w:t>甲方</w:t>
      </w:r>
      <w:r>
        <w:rPr>
          <w:color w:val="222222"/>
          <w:sz w:val="27"/>
        </w:rPr>
        <w:t>，并不得留存任何复制品。</w:t>
      </w:r>
    </w:p>
    <w:p>
      <w:pPr>
        <w:jc w:val="both"/>
      </w:pPr>
      <w:r>
        <w:rPr/>
        <w:t xml:space="preserve"> </w:t>
      </w:r>
    </w:p>
    <w:p>
      <w:pPr>
        <w:jc w:val="both"/>
      </w:pPr>
      <w:r>
        <w:rPr>
          <w:b/>
        </w:rPr>
        <w:t>八、人员要求</w:t>
      </w:r>
    </w:p>
    <w:p>
      <w:pPr>
        <w:jc w:val="both"/>
      </w:pPr>
      <w:r>
        <w:rPr>
          <w:color w:val="222222"/>
          <w:sz w:val="27"/>
        </w:rPr>
        <w:t>1、</w:t>
      </w:r>
      <w:r>
        <w:rPr>
          <w:color w:val="222222"/>
          <w:sz w:val="27"/>
        </w:rPr>
        <w:t>乙方</w:t>
      </w:r>
      <w:r>
        <w:rPr>
          <w:color w:val="222222"/>
          <w:sz w:val="27"/>
        </w:rPr>
        <w:t>须按其响应文件中承诺提供的项目组人员必须按要求投入到本项目中，在合同期内不得擅自更换。</w:t>
      </w:r>
      <w:r>
        <w:rPr>
          <w:color w:val="222222"/>
          <w:sz w:val="27"/>
        </w:rPr>
        <w:t>乙方</w:t>
      </w:r>
      <w:r>
        <w:rPr>
          <w:color w:val="222222"/>
          <w:sz w:val="27"/>
        </w:rPr>
        <w:t>如因工作安排或其他原因，需要更换项目组人员时，应事前向</w:t>
      </w:r>
      <w:r>
        <w:rPr>
          <w:color w:val="222222"/>
          <w:sz w:val="27"/>
        </w:rPr>
        <w:t>甲方</w:t>
      </w:r>
      <w:r>
        <w:rPr>
          <w:color w:val="222222"/>
          <w:sz w:val="27"/>
        </w:rPr>
        <w:t>书面提出书面申请，未经</w:t>
      </w:r>
      <w:r>
        <w:rPr>
          <w:color w:val="222222"/>
          <w:sz w:val="27"/>
        </w:rPr>
        <w:t>甲方</w:t>
      </w:r>
      <w:r>
        <w:rPr>
          <w:color w:val="222222"/>
          <w:sz w:val="27"/>
        </w:rPr>
        <w:t>同意，不得更换人员。</w:t>
      </w:r>
    </w:p>
    <w:p>
      <w:pPr>
        <w:jc w:val="both"/>
      </w:pPr>
      <w:r>
        <w:rPr>
          <w:color w:val="222222"/>
          <w:sz w:val="27"/>
        </w:rPr>
        <w:t>2、如</w:t>
      </w:r>
      <w:r>
        <w:rPr>
          <w:color w:val="222222"/>
          <w:sz w:val="27"/>
        </w:rPr>
        <w:t>乙方</w:t>
      </w:r>
      <w:r>
        <w:rPr>
          <w:color w:val="222222"/>
          <w:sz w:val="27"/>
        </w:rPr>
        <w:t>未经</w:t>
      </w:r>
      <w:r>
        <w:rPr>
          <w:color w:val="222222"/>
          <w:sz w:val="27"/>
        </w:rPr>
        <w:t>甲方</w:t>
      </w:r>
      <w:r>
        <w:rPr>
          <w:color w:val="222222"/>
          <w:sz w:val="27"/>
        </w:rPr>
        <w:t>书面同意擅自更换项目组人员，除须按</w:t>
      </w:r>
      <w:r>
        <w:rPr>
          <w:color w:val="222222"/>
          <w:sz w:val="27"/>
        </w:rPr>
        <w:t>甲方</w:t>
      </w:r>
      <w:r>
        <w:rPr>
          <w:color w:val="222222"/>
          <w:sz w:val="27"/>
        </w:rPr>
        <w:t>的要求对人员作出调整外，还须交纳违约金。累计达4次后，</w:t>
      </w:r>
      <w:r>
        <w:rPr>
          <w:color w:val="222222"/>
          <w:sz w:val="27"/>
        </w:rPr>
        <w:t>甲方</w:t>
      </w:r>
      <w:r>
        <w:rPr>
          <w:color w:val="222222"/>
          <w:sz w:val="27"/>
        </w:rPr>
        <w:t>有权终止合同，由此引致的经济损失，</w:t>
      </w:r>
      <w:r>
        <w:rPr>
          <w:color w:val="222222"/>
          <w:sz w:val="27"/>
        </w:rPr>
        <w:t>乙方</w:t>
      </w:r>
      <w:r>
        <w:rPr>
          <w:color w:val="222222"/>
          <w:sz w:val="27"/>
        </w:rPr>
        <w:t>须全额赔偿，</w:t>
      </w:r>
      <w:r>
        <w:rPr>
          <w:color w:val="222222"/>
          <w:sz w:val="27"/>
        </w:rPr>
        <w:t>甲方</w:t>
      </w:r>
      <w:r>
        <w:rPr>
          <w:color w:val="222222"/>
          <w:sz w:val="27"/>
        </w:rPr>
        <w:t>保留追究</w:t>
      </w:r>
      <w:r>
        <w:rPr>
          <w:color w:val="222222"/>
          <w:sz w:val="27"/>
        </w:rPr>
        <w:t>乙方</w:t>
      </w:r>
      <w:r>
        <w:rPr>
          <w:color w:val="222222"/>
          <w:sz w:val="27"/>
        </w:rPr>
        <w:t>相关责任的权利。</w:t>
      </w:r>
    </w:p>
    <w:p>
      <w:pPr>
        <w:jc w:val="both"/>
      </w:pPr>
      <w:r>
        <w:rPr>
          <w:color w:val="222222"/>
          <w:sz w:val="27"/>
        </w:rPr>
        <w:t>3、</w:t>
      </w:r>
      <w:r>
        <w:rPr>
          <w:color w:val="222222"/>
          <w:sz w:val="27"/>
        </w:rPr>
        <w:t>甲方</w:t>
      </w:r>
      <w:r>
        <w:rPr>
          <w:color w:val="222222"/>
          <w:sz w:val="27"/>
        </w:rPr>
        <w:t>有权以书面形式要求</w:t>
      </w:r>
      <w:r>
        <w:rPr>
          <w:color w:val="222222"/>
          <w:sz w:val="27"/>
        </w:rPr>
        <w:t>乙方</w:t>
      </w:r>
      <w:r>
        <w:rPr>
          <w:color w:val="222222"/>
          <w:sz w:val="27"/>
        </w:rPr>
        <w:t>更换不能按规定履行合同的人员。</w:t>
      </w:r>
    </w:p>
    <w:p>
      <w:pPr>
        <w:jc w:val="both"/>
      </w:pPr>
      <w:r>
        <w:rPr>
          <w:color w:val="222222"/>
          <w:sz w:val="27"/>
        </w:rPr>
        <w:t>4、即使是</w:t>
      </w:r>
      <w:r>
        <w:rPr>
          <w:color w:val="222222"/>
          <w:sz w:val="27"/>
        </w:rPr>
        <w:t>甲方</w:t>
      </w:r>
      <w:r>
        <w:rPr>
          <w:color w:val="222222"/>
          <w:sz w:val="27"/>
        </w:rPr>
        <w:t>要求或同意更换的人员，其代替人员的资质仍应得到</w:t>
      </w:r>
      <w:r>
        <w:rPr>
          <w:color w:val="222222"/>
          <w:sz w:val="27"/>
        </w:rPr>
        <w:t>甲方</w:t>
      </w:r>
      <w:r>
        <w:rPr>
          <w:color w:val="222222"/>
          <w:sz w:val="27"/>
        </w:rPr>
        <w:t>的认可，且其资历和经验均不低于被更换人员。由此而产生的费用由</w:t>
      </w:r>
      <w:r>
        <w:rPr>
          <w:color w:val="222222"/>
          <w:sz w:val="27"/>
        </w:rPr>
        <w:t>乙方</w:t>
      </w:r>
      <w:r>
        <w:rPr>
          <w:color w:val="222222"/>
          <w:sz w:val="27"/>
        </w:rPr>
        <w:t>承担。</w:t>
      </w:r>
    </w:p>
    <w:p>
      <w:pPr>
        <w:jc w:val="both"/>
      </w:pPr>
      <w:r>
        <w:rPr>
          <w:color w:val="222222"/>
          <w:sz w:val="27"/>
        </w:rPr>
        <w:t>5、</w:t>
      </w:r>
      <w:r>
        <w:rPr>
          <w:color w:val="222222"/>
          <w:sz w:val="27"/>
        </w:rPr>
        <w:t>乙方</w:t>
      </w:r>
      <w:r>
        <w:rPr>
          <w:color w:val="222222"/>
          <w:sz w:val="27"/>
        </w:rPr>
        <w:t>对其雇员的人身安全负全部责任。</w:t>
      </w:r>
    </w:p>
    <w:p>
      <w:pPr>
        <w:jc w:val="both"/>
      </w:pPr>
      <w:r>
        <w:rPr/>
        <w:t xml:space="preserve"> </w:t>
      </w:r>
    </w:p>
    <w:p>
      <w:pPr>
        <w:jc w:val="both"/>
      </w:pPr>
      <w:r>
        <w:rPr>
          <w:b/>
        </w:rPr>
        <w:t>九、违约责任与赔偿损失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t xml:space="preserve"> </w:t>
      </w:r>
    </w:p>
    <w:p>
      <w:pPr>
        <w:jc w:val="both"/>
      </w:pPr>
      <w:r>
        <w:rPr>
          <w:b/>
        </w:rPr>
        <w:t>十、争议的解决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p>
    <w:p>
      <w:pPr>
        <w:ind w:firstLine="400"/>
        <w:jc w:val="both"/>
      </w:pPr>
      <w:r>
        <w:rPr>
          <w:color w:val="222222"/>
          <w:sz w:val="27"/>
        </w:rPr>
        <w:t xml:space="preserve"> </w:t>
      </w:r>
      <w:r>
        <w:rPr>
          <w:color w:val="222222"/>
          <w:sz w:val="27"/>
        </w:rPr>
        <w:t xml:space="preserve"> </w:t>
      </w:r>
      <w:r>
        <w:rPr>
          <w:color w:val="222222"/>
          <w:sz w:val="27"/>
        </w:rPr>
        <w:t xml:space="preserve"> </w:t>
      </w:r>
    </w:p>
    <w:p>
      <w:pPr>
        <w:jc w:val="both"/>
      </w:pPr>
      <w:r>
        <w:rPr>
          <w:b/>
        </w:rPr>
        <w:t>十一、不可抗力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t xml:space="preserve"> </w:t>
      </w:r>
    </w:p>
    <w:p>
      <w:pPr>
        <w:jc w:val="both"/>
      </w:pPr>
      <w:r>
        <w:rPr>
          <w:b/>
        </w:rPr>
        <w:t>十二、税费</w:t>
      </w:r>
    </w:p>
    <w:p>
      <w:pPr>
        <w:jc w:val="both"/>
      </w:pPr>
      <w:r>
        <w:rPr>
          <w:color w:val="222222"/>
          <w:sz w:val="27"/>
        </w:rPr>
        <w:t>　　在中国境内、外发生的与本合同执行有关的一切税费均由乙方负担。</w:t>
      </w:r>
    </w:p>
    <w:p>
      <w:pPr>
        <w:jc w:val="both"/>
      </w:pPr>
      <w:r>
        <w:rPr/>
        <w:t xml:space="preserve"> </w:t>
      </w:r>
    </w:p>
    <w:p>
      <w:pPr>
        <w:jc w:val="both"/>
      </w:pPr>
      <w:r>
        <w:rPr>
          <w:b/>
        </w:rPr>
        <w:t>十三、其它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t xml:space="preserve"> </w:t>
      </w:r>
    </w:p>
    <w:p>
      <w:pPr>
        <w:jc w:val="both"/>
      </w:pPr>
      <w:r>
        <w:rPr>
          <w:b/>
        </w:rPr>
        <w:t>十四、合同生效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440601-2022-06547</w:t>
      </w:r>
    </w:p>
    <w:p>
      <w:pPr>
        <w:jc w:val="center"/>
      </w:pPr>
      <w:r>
        <w:rPr>
          <w:b/>
          <w:sz w:val="24"/>
        </w:rPr>
        <w:t>采购项目编号：</w:t>
      </w:r>
      <w:r>
        <w:rPr>
          <w:b/>
          <w:sz w:val="24"/>
        </w:rPr>
        <w:t>440601-2022-06547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广东计安招标采购有限公司佛山分公司</w:t>
      </w:r>
    </w:p>
    <w:p>
      <w:pPr>
        <w:ind w:firstLine="480"/>
      </w:pPr>
      <w:r>
        <w:rPr/>
        <w:t>你方组织的</w:t>
      </w:r>
      <w:r>
        <w:rPr>
          <w:u w:val="single"/>
        </w:rPr>
        <w:t>“</w:t>
      </w:r>
      <w:r>
        <w:rPr>
          <w:u w:val="single"/>
        </w:rPr>
        <w:t>全国统一中小学教师资格考试佛山考区面试考点保障服务（2023年）</w:t>
      </w:r>
      <w:r>
        <w:rPr>
          <w:u w:val="single"/>
        </w:rPr>
        <w:t>”</w:t>
      </w:r>
      <w:r>
        <w:rPr/>
        <w:t>项目的竞争性磋商[采购项目编号为：</w:t>
      </w:r>
      <w:r>
        <w:rPr>
          <w:u w:val="single"/>
        </w:rPr>
        <w:t>440601-2022-06547</w:t>
      </w:r>
      <w:r>
        <w:rPr/>
        <w:t>]，我方愿参与响应。</w:t>
      </w:r>
    </w:p>
    <w:p>
      <w:pPr>
        <w:ind w:firstLine="480"/>
      </w:pPr>
      <w:r>
        <w:rPr/>
        <w:t>我方确认收到贵方提供的</w:t>
      </w:r>
      <w:r>
        <w:rPr>
          <w:u w:val="single"/>
        </w:rPr>
        <w:t>“</w:t>
      </w:r>
      <w:r>
        <w:rPr>
          <w:u w:val="single"/>
        </w:rPr>
        <w:t>全国统一中小学教师资格考试佛山考区面试考点保障服务（2023年）</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广东计安招标采购有限公司佛山分公司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全国统一中小学教师资格考试佛山考区面试考点保障服务（2023年）</w:t>
      </w:r>
      <w:r>
        <w:rPr/>
        <w:t>”项目采购[采购项目编号为</w:t>
      </w:r>
      <w:r>
        <w:rPr/>
        <w:t>440601-2022-06547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佛山市教育局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广东计安招标采购有限公司佛山分公司</w:t>
      </w:r>
    </w:p>
    <w:p>
      <w:pPr>
        <w:ind w:firstLine="480"/>
      </w:pPr>
      <w:r>
        <w:rPr/>
        <w:t>我单位参加贵公司组织的</w:t>
      </w:r>
      <w:r>
        <w:rPr/>
        <w:t>全国统一中小学教师资格考试佛山考区面试考点保障服务（2023年）</w:t>
      </w:r>
      <w:r>
        <w:rPr/>
        <w:t>（采购项目编号：</w:t>
      </w:r>
      <w:r>
        <w:rPr/>
        <w:t>440601-2022-06547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广东计安招标采购有限公司佛山分公司</w:t>
      </w:r>
    </w:p>
    <w:p>
      <w:pPr>
        <w:ind w:firstLine="480"/>
      </w:pPr>
      <w:r>
        <w:rPr/>
        <w:t>我单位已登记并准备参与“</w:t>
      </w:r>
      <w:r>
        <w:rPr/>
        <w:t>全国统一中小学教师资格考试佛山考区面试考点保障服务（2023年）</w:t>
      </w:r>
      <w:r>
        <w:rPr/>
        <w:t>”项目（采购项目编号：</w:t>
      </w:r>
      <w:r>
        <w:rPr/>
        <w:t>440601-2022-06547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